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EEDA" w14:textId="77777777" w:rsidR="0074690D" w:rsidRDefault="0074690D" w:rsidP="00102439">
      <w:pPr>
        <w:jc w:val="center"/>
        <w:rPr>
          <w:rFonts w:ascii="Times New Roman" w:hAnsi="Times New Roman" w:cs="Times New Roman"/>
          <w:sz w:val="24"/>
          <w:szCs w:val="24"/>
          <w:lang w:val="en-US"/>
        </w:rPr>
      </w:pPr>
      <w:bookmarkStart w:id="0" w:name="_GoBack"/>
      <w:bookmarkEnd w:id="0"/>
    </w:p>
    <w:p w14:paraId="1713B13C" w14:textId="6D8BB490" w:rsidR="00102439" w:rsidRPr="00673A0D" w:rsidRDefault="000D263C" w:rsidP="00102439">
      <w:pPr>
        <w:jc w:val="center"/>
        <w:rPr>
          <w:rFonts w:ascii="Times New Roman" w:hAnsi="Times New Roman" w:cs="Times New Roman"/>
          <w:sz w:val="24"/>
          <w:szCs w:val="24"/>
          <w:lang w:val="en-US"/>
        </w:rPr>
      </w:pPr>
      <w:r w:rsidRPr="00673A0D">
        <w:rPr>
          <w:rFonts w:ascii="Times New Roman" w:hAnsi="Times New Roman" w:cs="Times New Roman"/>
          <w:noProof/>
          <w:sz w:val="24"/>
          <w:szCs w:val="24"/>
        </w:rPr>
        <w:drawing>
          <wp:anchor distT="0" distB="0" distL="114300" distR="114300" simplePos="0" relativeHeight="251661312" behindDoc="1" locked="0" layoutInCell="1" allowOverlap="1" wp14:anchorId="4E625E56" wp14:editId="2D401E1E">
            <wp:simplePos x="0" y="0"/>
            <wp:positionH relativeFrom="page">
              <wp:align>center</wp:align>
            </wp:positionH>
            <wp:positionV relativeFrom="paragraph">
              <wp:posOffset>-357505</wp:posOffset>
            </wp:positionV>
            <wp:extent cx="1143000" cy="1136590"/>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0" cy="1136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73A0D">
        <w:rPr>
          <w:rFonts w:ascii="Times New Roman" w:hAnsi="Times New Roman" w:cs="Times New Roman"/>
          <w:noProof/>
          <w:sz w:val="24"/>
          <w:szCs w:val="24"/>
        </w:rPr>
        <w:drawing>
          <wp:anchor distT="0" distB="0" distL="114300" distR="114300" simplePos="0" relativeHeight="251659264" behindDoc="1" locked="0" layoutInCell="1" allowOverlap="1" wp14:anchorId="0873AC8A" wp14:editId="09755D73">
            <wp:simplePos x="0" y="0"/>
            <wp:positionH relativeFrom="column">
              <wp:posOffset>-927735</wp:posOffset>
            </wp:positionH>
            <wp:positionV relativeFrom="paragraph">
              <wp:posOffset>-300990</wp:posOffset>
            </wp:positionV>
            <wp:extent cx="2145735" cy="104775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0684" t="19955" r="31373" b="38427"/>
                    <a:stretch/>
                  </pic:blipFill>
                  <pic:spPr bwMode="auto">
                    <a:xfrm>
                      <a:off x="0" y="0"/>
                      <a:ext cx="214573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2439" w:rsidRPr="00673A0D">
        <w:rPr>
          <w:rFonts w:ascii="Times New Roman" w:hAnsi="Times New Roman" w:cs="Times New Roman"/>
          <w:b/>
          <w:bCs/>
          <w:noProof/>
          <w:sz w:val="24"/>
          <w:szCs w:val="24"/>
        </w:rPr>
        <w:drawing>
          <wp:anchor distT="0" distB="0" distL="114300" distR="114300" simplePos="0" relativeHeight="251658240" behindDoc="0" locked="0" layoutInCell="1" allowOverlap="1" wp14:anchorId="63CB994B" wp14:editId="4F9EB633">
            <wp:simplePos x="0" y="0"/>
            <wp:positionH relativeFrom="column">
              <wp:posOffset>4549140</wp:posOffset>
            </wp:positionH>
            <wp:positionV relativeFrom="paragraph">
              <wp:posOffset>-701040</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p>
    <w:p w14:paraId="54413385" w14:textId="0D4C3715" w:rsidR="00102439" w:rsidRPr="00673A0D" w:rsidRDefault="00102439" w:rsidP="00C623E0">
      <w:pPr>
        <w:jc w:val="center"/>
        <w:rPr>
          <w:rFonts w:ascii="Times New Roman" w:hAnsi="Times New Roman" w:cs="Times New Roman"/>
          <w:sz w:val="24"/>
          <w:szCs w:val="24"/>
          <w:lang w:val="en-US"/>
        </w:rPr>
      </w:pPr>
    </w:p>
    <w:p w14:paraId="2E941463" w14:textId="46C52EEC" w:rsidR="00102439" w:rsidRPr="00673A0D" w:rsidRDefault="00102439" w:rsidP="00C623E0">
      <w:pPr>
        <w:jc w:val="center"/>
        <w:rPr>
          <w:rFonts w:ascii="Times New Roman" w:hAnsi="Times New Roman" w:cs="Times New Roman"/>
          <w:sz w:val="24"/>
          <w:szCs w:val="24"/>
          <w:lang w:val="en-US"/>
        </w:rPr>
      </w:pPr>
    </w:p>
    <w:p w14:paraId="61D170C8" w14:textId="26B463BF" w:rsidR="00102439" w:rsidRPr="00673A0D" w:rsidRDefault="00C17A17" w:rsidP="00C17A17">
      <w:pPr>
        <w:tabs>
          <w:tab w:val="left" w:pos="510"/>
        </w:tabs>
        <w:rPr>
          <w:rFonts w:ascii="Times New Roman" w:hAnsi="Times New Roman" w:cs="Times New Roman"/>
          <w:sz w:val="24"/>
          <w:szCs w:val="24"/>
          <w:lang w:val="en-US"/>
        </w:rPr>
      </w:pPr>
      <w:r w:rsidRPr="00673A0D">
        <w:rPr>
          <w:rFonts w:ascii="Times New Roman" w:hAnsi="Times New Roman" w:cs="Times New Roman"/>
          <w:sz w:val="24"/>
          <w:szCs w:val="24"/>
          <w:lang w:val="en-US"/>
        </w:rPr>
        <w:tab/>
      </w:r>
    </w:p>
    <w:p w14:paraId="544B502B" w14:textId="17B8122E" w:rsidR="00102439" w:rsidRDefault="00102439" w:rsidP="00C623E0">
      <w:pPr>
        <w:jc w:val="center"/>
        <w:rPr>
          <w:rFonts w:ascii="Times New Roman" w:hAnsi="Times New Roman" w:cs="Times New Roman"/>
          <w:sz w:val="24"/>
          <w:szCs w:val="24"/>
          <w:lang w:val="en-US"/>
        </w:rPr>
      </w:pPr>
    </w:p>
    <w:p w14:paraId="0B9E1AC6" w14:textId="77777777" w:rsidR="007C6020" w:rsidRPr="00673A0D" w:rsidRDefault="007C6020" w:rsidP="00C623E0">
      <w:pPr>
        <w:jc w:val="center"/>
        <w:rPr>
          <w:rFonts w:ascii="Times New Roman" w:hAnsi="Times New Roman" w:cs="Times New Roman"/>
          <w:sz w:val="24"/>
          <w:szCs w:val="24"/>
          <w:lang w:val="en-US"/>
        </w:rPr>
      </w:pPr>
    </w:p>
    <w:p w14:paraId="559A238D" w14:textId="714E9935" w:rsidR="00133EE6" w:rsidRPr="00C66199" w:rsidRDefault="00133EE6" w:rsidP="00133EE6">
      <w:pPr>
        <w:jc w:val="center"/>
        <w:rPr>
          <w:rFonts w:ascii="Times New Roman" w:hAnsi="Times New Roman" w:cs="Times New Roman"/>
          <w:b/>
          <w:bCs/>
          <w:sz w:val="28"/>
          <w:szCs w:val="28"/>
          <w:lang w:val="en-US"/>
        </w:rPr>
      </w:pPr>
      <w:r w:rsidRPr="00C66199">
        <w:rPr>
          <w:rFonts w:ascii="Times New Roman" w:hAnsi="Times New Roman" w:cs="Times New Roman"/>
          <w:b/>
          <w:bCs/>
          <w:sz w:val="28"/>
          <w:szCs w:val="28"/>
          <w:lang w:val="en-US"/>
        </w:rPr>
        <w:t>CONCEPT NOTE ON</w:t>
      </w:r>
    </w:p>
    <w:p w14:paraId="33D083CD" w14:textId="77777777" w:rsidR="00133EE6" w:rsidRPr="00C66199" w:rsidRDefault="00133EE6" w:rsidP="00133EE6">
      <w:pPr>
        <w:jc w:val="center"/>
        <w:rPr>
          <w:rFonts w:ascii="Times New Roman" w:hAnsi="Times New Roman" w:cs="Times New Roman"/>
          <w:b/>
          <w:bCs/>
          <w:sz w:val="28"/>
          <w:szCs w:val="28"/>
          <w:lang w:val="en-US"/>
        </w:rPr>
      </w:pPr>
      <w:r w:rsidRPr="00C66199">
        <w:rPr>
          <w:rFonts w:ascii="Times New Roman" w:hAnsi="Times New Roman" w:cs="Times New Roman"/>
          <w:b/>
          <w:bCs/>
          <w:sz w:val="28"/>
          <w:szCs w:val="28"/>
          <w:lang w:val="en-US"/>
        </w:rPr>
        <w:t>PROMOTING VALUE-CHAIN DEVELOPMENT OF PALM OIL</w:t>
      </w:r>
    </w:p>
    <w:p w14:paraId="7CE9521C" w14:textId="77777777" w:rsidR="007D13EB" w:rsidRPr="00673A0D" w:rsidRDefault="007D13EB" w:rsidP="007D13EB">
      <w:pPr>
        <w:rPr>
          <w:rFonts w:ascii="Times New Roman" w:hAnsi="Times New Roman" w:cs="Times New Roman"/>
          <w:sz w:val="24"/>
          <w:szCs w:val="24"/>
          <w:lang w:val="en-US"/>
        </w:rPr>
      </w:pPr>
    </w:p>
    <w:p w14:paraId="29A21ABE" w14:textId="77777777" w:rsidR="00133EE6" w:rsidRPr="00673A0D" w:rsidRDefault="00133EE6" w:rsidP="00133EE6">
      <w:pPr>
        <w:pStyle w:val="NormalWeb"/>
        <w:rPr>
          <w:b/>
          <w:bCs/>
          <w:lang w:val="en-US"/>
        </w:rPr>
      </w:pPr>
      <w:r w:rsidRPr="00673A0D">
        <w:rPr>
          <w:b/>
          <w:bCs/>
          <w:lang w:val="en-US"/>
        </w:rPr>
        <w:t>Introduction</w:t>
      </w:r>
    </w:p>
    <w:p w14:paraId="4AE8B248" w14:textId="77777777" w:rsidR="00133EE6" w:rsidRPr="00673A0D" w:rsidRDefault="00133EE6" w:rsidP="00133EE6">
      <w:pPr>
        <w:pStyle w:val="NormalWeb"/>
        <w:jc w:val="both"/>
        <w:rPr>
          <w:lang w:val="en-US"/>
        </w:rPr>
      </w:pPr>
      <w:r w:rsidRPr="00673A0D">
        <w:rPr>
          <w:lang w:val="en-US"/>
        </w:rPr>
        <w:t>Palm oil production is one of main staple and export commodities in major OIC member states. With Indonesia topping the global list of palm oil exporters, followed by Malaysia, Nigeria, Cote d’Ivoire, Cameroon and Sierra-Leone in the second, fifth, eighth, fifteenth and twentieth positions respectively, the importance of Palm Oil within the OIC region is very considerable. Consequently, there is a need for the new specialised institution of OIC, namely: Islamic Organisation for Food Security (IOFS) to consider a multilateral cooperation framework that would assist in the value-chain development of this product, judging from its food and export potentials. Palm Oil remains a strategic industry because of its considerable contribution to non-oil and gas exports, mass employment creation, rural development and poverty reduction in a host of IOFS/OIC countries.</w:t>
      </w:r>
    </w:p>
    <w:p w14:paraId="345B499D" w14:textId="34FC8C80" w:rsidR="005F6872" w:rsidRPr="00673A0D" w:rsidRDefault="005F6872" w:rsidP="00133EE6">
      <w:pPr>
        <w:pStyle w:val="NormalWeb"/>
        <w:jc w:val="both"/>
        <w:rPr>
          <w:b/>
          <w:bCs/>
          <w:lang w:val="en-US"/>
        </w:rPr>
      </w:pPr>
      <w:r w:rsidRPr="00673A0D">
        <w:rPr>
          <w:b/>
          <w:bCs/>
          <w:lang w:val="en-US"/>
        </w:rPr>
        <w:t xml:space="preserve">Current State </w:t>
      </w:r>
    </w:p>
    <w:p w14:paraId="0C5F1B9C" w14:textId="429A76DA" w:rsidR="00673A0D" w:rsidRDefault="00004665" w:rsidP="00133EE6">
      <w:pPr>
        <w:pStyle w:val="NormalWeb"/>
        <w:jc w:val="both"/>
        <w:rPr>
          <w:lang w:val="en-US"/>
        </w:rPr>
      </w:pPr>
      <w:r w:rsidRPr="00673A0D">
        <w:rPr>
          <w:lang w:val="en-US"/>
        </w:rPr>
        <w:t xml:space="preserve">In the past few decades, palm oil industry attracted the attention of the world community because of its rapid development. </w:t>
      </w:r>
      <w:r w:rsidR="00673A0D">
        <w:rPr>
          <w:lang w:val="en-US"/>
        </w:rPr>
        <w:t>The availability of palm oil in developed countries has created economic benefits for importing countries. Palm oil prices in international markets are cheaper than other vegetable oils. With more competitive prices, palm oil provides more benefits to the world community especially in low-income countries.</w:t>
      </w:r>
    </w:p>
    <w:p w14:paraId="3ACE68A8" w14:textId="181E35C9" w:rsidR="00C66199" w:rsidRDefault="00C66199" w:rsidP="00133EE6">
      <w:pPr>
        <w:pStyle w:val="NormalWeb"/>
        <w:jc w:val="both"/>
        <w:rPr>
          <w:lang w:val="en-US"/>
        </w:rPr>
      </w:pPr>
      <w:r>
        <w:rPr>
          <w:lang w:val="en-US"/>
        </w:rPr>
        <w:t>Palm oil as a vegetable oil is available in sufficient volume globally at competitive prices. This is why it is consumed almost in every country in the world. Due to its availability, negative campaigns against the palm oil industry</w:t>
      </w:r>
      <w:r w:rsidRPr="00C66199">
        <w:rPr>
          <w:lang w:val="en-US"/>
        </w:rPr>
        <w:t xml:space="preserve"> </w:t>
      </w:r>
      <w:r>
        <w:rPr>
          <w:lang w:val="en-US"/>
        </w:rPr>
        <w:t xml:space="preserve">appeared. Originally these campaigns were limited only to the issues related to nutrition and health in an effort to influence consumers, later on these campaigns expanded to economic, social and environmental aspects. </w:t>
      </w:r>
    </w:p>
    <w:p w14:paraId="5A020C73" w14:textId="426D1356" w:rsidR="00C66199" w:rsidRDefault="00C66199" w:rsidP="00133EE6">
      <w:pPr>
        <w:pStyle w:val="NormalWeb"/>
        <w:jc w:val="both"/>
        <w:rPr>
          <w:lang w:val="en-US"/>
        </w:rPr>
      </w:pPr>
      <w:r>
        <w:rPr>
          <w:lang w:val="en-US"/>
        </w:rPr>
        <w:t xml:space="preserve">The misperception of the palm oil industry could threaten the future of palm oil industries of those countries, which economic development mostly depends on </w:t>
      </w:r>
      <w:r w:rsidR="0074690D">
        <w:rPr>
          <w:lang w:val="en-US"/>
        </w:rPr>
        <w:t xml:space="preserve">palm oil production levels. The palm oil industry has become the source of income for millions of people, involving small farm-holders, SMEs and larger palm oil producing companies. </w:t>
      </w:r>
    </w:p>
    <w:p w14:paraId="35ACDBDB" w14:textId="77777777" w:rsidR="007C6020" w:rsidRDefault="007C6020" w:rsidP="00133EE6">
      <w:pPr>
        <w:pStyle w:val="NormalWeb"/>
        <w:jc w:val="both"/>
        <w:rPr>
          <w:b/>
          <w:bCs/>
          <w:lang w:val="en-US"/>
        </w:rPr>
      </w:pPr>
    </w:p>
    <w:p w14:paraId="68B5D5A6" w14:textId="77777777" w:rsidR="007C6020" w:rsidRDefault="007C6020" w:rsidP="00133EE6">
      <w:pPr>
        <w:pStyle w:val="NormalWeb"/>
        <w:jc w:val="both"/>
        <w:rPr>
          <w:b/>
          <w:bCs/>
          <w:lang w:val="en-US"/>
        </w:rPr>
      </w:pPr>
    </w:p>
    <w:p w14:paraId="7A742464" w14:textId="437B353A" w:rsidR="00960358" w:rsidRPr="00673A0D" w:rsidRDefault="00960358" w:rsidP="00133EE6">
      <w:pPr>
        <w:pStyle w:val="NormalWeb"/>
        <w:jc w:val="both"/>
        <w:rPr>
          <w:b/>
          <w:bCs/>
          <w:lang w:val="en-US"/>
        </w:rPr>
      </w:pPr>
      <w:r w:rsidRPr="00673A0D">
        <w:rPr>
          <w:b/>
          <w:bCs/>
          <w:lang w:val="en-US"/>
        </w:rPr>
        <w:lastRenderedPageBreak/>
        <w:t xml:space="preserve">Comparison of the productivity of various crops producing vegetable oil </w:t>
      </w:r>
    </w:p>
    <w:tbl>
      <w:tblPr>
        <w:tblStyle w:val="TableGrid"/>
        <w:tblW w:w="0" w:type="auto"/>
        <w:tblLook w:val="04A0" w:firstRow="1" w:lastRow="0" w:firstColumn="1" w:lastColumn="0" w:noHBand="0" w:noVBand="1"/>
      </w:tblPr>
      <w:tblGrid>
        <w:gridCol w:w="704"/>
        <w:gridCol w:w="5277"/>
        <w:gridCol w:w="3364"/>
      </w:tblGrid>
      <w:tr w:rsidR="00960358" w:rsidRPr="00673A0D" w14:paraId="50F43AB8" w14:textId="77777777" w:rsidTr="00960358">
        <w:tc>
          <w:tcPr>
            <w:tcW w:w="704" w:type="dxa"/>
          </w:tcPr>
          <w:p w14:paraId="09334DFE" w14:textId="536F6F0D" w:rsidR="00960358" w:rsidRPr="00673A0D" w:rsidRDefault="00960358" w:rsidP="00960358">
            <w:pPr>
              <w:pStyle w:val="NormalWeb"/>
              <w:jc w:val="center"/>
              <w:rPr>
                <w:lang w:val="en-US"/>
              </w:rPr>
            </w:pPr>
            <w:r w:rsidRPr="00673A0D">
              <w:rPr>
                <w:lang w:val="en-US"/>
              </w:rPr>
              <w:t>No.</w:t>
            </w:r>
          </w:p>
        </w:tc>
        <w:tc>
          <w:tcPr>
            <w:tcW w:w="5277" w:type="dxa"/>
          </w:tcPr>
          <w:p w14:paraId="289D7102" w14:textId="27733134" w:rsidR="00960358" w:rsidRPr="00673A0D" w:rsidRDefault="00960358" w:rsidP="00960358">
            <w:pPr>
              <w:pStyle w:val="NormalWeb"/>
              <w:jc w:val="center"/>
              <w:rPr>
                <w:lang w:val="en-US"/>
              </w:rPr>
            </w:pPr>
            <w:r w:rsidRPr="00673A0D">
              <w:rPr>
                <w:lang w:val="en-US"/>
              </w:rPr>
              <w:t>Crops</w:t>
            </w:r>
          </w:p>
        </w:tc>
        <w:tc>
          <w:tcPr>
            <w:tcW w:w="3364" w:type="dxa"/>
          </w:tcPr>
          <w:p w14:paraId="3B052F4C" w14:textId="06764CD3" w:rsidR="00960358" w:rsidRPr="00673A0D" w:rsidRDefault="00960358" w:rsidP="00960358">
            <w:pPr>
              <w:pStyle w:val="NormalWeb"/>
              <w:jc w:val="center"/>
              <w:rPr>
                <w:lang w:val="en-US"/>
              </w:rPr>
            </w:pPr>
            <w:r w:rsidRPr="00673A0D">
              <w:rPr>
                <w:lang w:val="en-US"/>
              </w:rPr>
              <w:t>Productivity</w:t>
            </w:r>
            <w:r w:rsidRPr="00673A0D">
              <w:rPr>
                <w:lang w:val="en-US"/>
              </w:rPr>
              <w:br/>
              <w:t>(ton/ha/year)</w:t>
            </w:r>
          </w:p>
        </w:tc>
      </w:tr>
      <w:tr w:rsidR="00960358" w:rsidRPr="00673A0D" w14:paraId="4022CB0B" w14:textId="77777777" w:rsidTr="00960358">
        <w:tc>
          <w:tcPr>
            <w:tcW w:w="704" w:type="dxa"/>
          </w:tcPr>
          <w:p w14:paraId="128199DB" w14:textId="75041AFD" w:rsidR="00960358" w:rsidRPr="00673A0D" w:rsidRDefault="00960358" w:rsidP="00133EE6">
            <w:pPr>
              <w:pStyle w:val="NormalWeb"/>
              <w:jc w:val="both"/>
              <w:rPr>
                <w:lang w:val="en-US"/>
              </w:rPr>
            </w:pPr>
            <w:r w:rsidRPr="00673A0D">
              <w:rPr>
                <w:lang w:val="en-US"/>
              </w:rPr>
              <w:t>1</w:t>
            </w:r>
          </w:p>
        </w:tc>
        <w:tc>
          <w:tcPr>
            <w:tcW w:w="5277" w:type="dxa"/>
          </w:tcPr>
          <w:p w14:paraId="447D82F4" w14:textId="1043C24C" w:rsidR="00960358" w:rsidRPr="00673A0D" w:rsidRDefault="00960358" w:rsidP="00133EE6">
            <w:pPr>
              <w:pStyle w:val="NormalWeb"/>
              <w:jc w:val="both"/>
              <w:rPr>
                <w:lang w:val="en-US"/>
              </w:rPr>
            </w:pPr>
            <w:r w:rsidRPr="00673A0D">
              <w:rPr>
                <w:lang w:val="en-US"/>
              </w:rPr>
              <w:t xml:space="preserve">Palm oil </w:t>
            </w:r>
          </w:p>
        </w:tc>
        <w:tc>
          <w:tcPr>
            <w:tcW w:w="3364" w:type="dxa"/>
          </w:tcPr>
          <w:p w14:paraId="1E15A9E0" w14:textId="1D3BC28B" w:rsidR="00960358" w:rsidRPr="00673A0D" w:rsidRDefault="00960358" w:rsidP="00960358">
            <w:pPr>
              <w:pStyle w:val="NormalWeb"/>
              <w:jc w:val="center"/>
              <w:rPr>
                <w:lang w:val="en-US"/>
              </w:rPr>
            </w:pPr>
            <w:r w:rsidRPr="00673A0D">
              <w:rPr>
                <w:lang w:val="en-US"/>
              </w:rPr>
              <w:t>4.27</w:t>
            </w:r>
          </w:p>
        </w:tc>
      </w:tr>
      <w:tr w:rsidR="00960358" w:rsidRPr="00673A0D" w14:paraId="1749A6B0" w14:textId="77777777" w:rsidTr="00960358">
        <w:tc>
          <w:tcPr>
            <w:tcW w:w="704" w:type="dxa"/>
          </w:tcPr>
          <w:p w14:paraId="19451A5C" w14:textId="526E1CEA" w:rsidR="00960358" w:rsidRPr="00673A0D" w:rsidRDefault="00960358" w:rsidP="00133EE6">
            <w:pPr>
              <w:pStyle w:val="NormalWeb"/>
              <w:jc w:val="both"/>
              <w:rPr>
                <w:lang w:val="en-US"/>
              </w:rPr>
            </w:pPr>
            <w:r w:rsidRPr="00673A0D">
              <w:rPr>
                <w:lang w:val="en-US"/>
              </w:rPr>
              <w:t>2</w:t>
            </w:r>
          </w:p>
        </w:tc>
        <w:tc>
          <w:tcPr>
            <w:tcW w:w="5277" w:type="dxa"/>
          </w:tcPr>
          <w:p w14:paraId="11D44894" w14:textId="40E69BDE" w:rsidR="00960358" w:rsidRPr="00673A0D" w:rsidRDefault="00960358" w:rsidP="00133EE6">
            <w:pPr>
              <w:pStyle w:val="NormalWeb"/>
              <w:jc w:val="both"/>
              <w:rPr>
                <w:lang w:val="en-US"/>
              </w:rPr>
            </w:pPr>
            <w:r w:rsidRPr="00673A0D">
              <w:rPr>
                <w:lang w:val="en-US"/>
              </w:rPr>
              <w:t>Rapeseed</w:t>
            </w:r>
          </w:p>
        </w:tc>
        <w:tc>
          <w:tcPr>
            <w:tcW w:w="3364" w:type="dxa"/>
          </w:tcPr>
          <w:p w14:paraId="17F1189B" w14:textId="439D3A09" w:rsidR="00960358" w:rsidRPr="00673A0D" w:rsidRDefault="00960358" w:rsidP="00960358">
            <w:pPr>
              <w:pStyle w:val="NormalWeb"/>
              <w:jc w:val="center"/>
              <w:rPr>
                <w:lang w:val="en-US"/>
              </w:rPr>
            </w:pPr>
            <w:r w:rsidRPr="00673A0D">
              <w:rPr>
                <w:lang w:val="en-US"/>
              </w:rPr>
              <w:t>0.69</w:t>
            </w:r>
          </w:p>
        </w:tc>
      </w:tr>
      <w:tr w:rsidR="00960358" w:rsidRPr="00673A0D" w14:paraId="0C61430A" w14:textId="77777777" w:rsidTr="00960358">
        <w:tc>
          <w:tcPr>
            <w:tcW w:w="704" w:type="dxa"/>
          </w:tcPr>
          <w:p w14:paraId="22BE09D5" w14:textId="65581BA4" w:rsidR="00960358" w:rsidRPr="00673A0D" w:rsidRDefault="00960358" w:rsidP="00133EE6">
            <w:pPr>
              <w:pStyle w:val="NormalWeb"/>
              <w:jc w:val="both"/>
              <w:rPr>
                <w:lang w:val="en-US"/>
              </w:rPr>
            </w:pPr>
            <w:r w:rsidRPr="00673A0D">
              <w:rPr>
                <w:lang w:val="en-US"/>
              </w:rPr>
              <w:t>3</w:t>
            </w:r>
          </w:p>
        </w:tc>
        <w:tc>
          <w:tcPr>
            <w:tcW w:w="5277" w:type="dxa"/>
          </w:tcPr>
          <w:p w14:paraId="7F8C6023" w14:textId="5E10F8C3" w:rsidR="00960358" w:rsidRPr="00673A0D" w:rsidRDefault="00960358" w:rsidP="00133EE6">
            <w:pPr>
              <w:pStyle w:val="NormalWeb"/>
              <w:jc w:val="both"/>
              <w:rPr>
                <w:lang w:val="en-US"/>
              </w:rPr>
            </w:pPr>
            <w:r w:rsidRPr="00673A0D">
              <w:rPr>
                <w:lang w:val="en-US"/>
              </w:rPr>
              <w:t>Sunflower</w:t>
            </w:r>
          </w:p>
        </w:tc>
        <w:tc>
          <w:tcPr>
            <w:tcW w:w="3364" w:type="dxa"/>
          </w:tcPr>
          <w:p w14:paraId="47511361" w14:textId="38372611" w:rsidR="00960358" w:rsidRPr="00673A0D" w:rsidRDefault="00960358" w:rsidP="00960358">
            <w:pPr>
              <w:pStyle w:val="NormalWeb"/>
              <w:jc w:val="center"/>
              <w:rPr>
                <w:lang w:val="en-US"/>
              </w:rPr>
            </w:pPr>
            <w:r w:rsidRPr="00673A0D">
              <w:rPr>
                <w:lang w:val="en-US"/>
              </w:rPr>
              <w:t>0.52</w:t>
            </w:r>
          </w:p>
        </w:tc>
      </w:tr>
      <w:tr w:rsidR="00960358" w:rsidRPr="00673A0D" w14:paraId="5E69DAEE" w14:textId="77777777" w:rsidTr="00960358">
        <w:tc>
          <w:tcPr>
            <w:tcW w:w="704" w:type="dxa"/>
          </w:tcPr>
          <w:p w14:paraId="6945E577" w14:textId="00294C3B" w:rsidR="00960358" w:rsidRPr="00673A0D" w:rsidRDefault="00960358" w:rsidP="00133EE6">
            <w:pPr>
              <w:pStyle w:val="NormalWeb"/>
              <w:jc w:val="both"/>
              <w:rPr>
                <w:lang w:val="en-US"/>
              </w:rPr>
            </w:pPr>
            <w:r w:rsidRPr="00673A0D">
              <w:rPr>
                <w:lang w:val="en-US"/>
              </w:rPr>
              <w:t>4</w:t>
            </w:r>
          </w:p>
        </w:tc>
        <w:tc>
          <w:tcPr>
            <w:tcW w:w="5277" w:type="dxa"/>
          </w:tcPr>
          <w:p w14:paraId="0A557F19" w14:textId="6C11D788" w:rsidR="00960358" w:rsidRPr="00673A0D" w:rsidRDefault="00960358" w:rsidP="00133EE6">
            <w:pPr>
              <w:pStyle w:val="NormalWeb"/>
              <w:jc w:val="both"/>
              <w:rPr>
                <w:lang w:val="en-US"/>
              </w:rPr>
            </w:pPr>
            <w:r w:rsidRPr="00673A0D">
              <w:rPr>
                <w:lang w:val="en-US"/>
              </w:rPr>
              <w:t>Peanut</w:t>
            </w:r>
          </w:p>
        </w:tc>
        <w:tc>
          <w:tcPr>
            <w:tcW w:w="3364" w:type="dxa"/>
          </w:tcPr>
          <w:p w14:paraId="0CF998DC" w14:textId="7DBD7F70" w:rsidR="00960358" w:rsidRPr="00673A0D" w:rsidRDefault="00960358" w:rsidP="00960358">
            <w:pPr>
              <w:pStyle w:val="NormalWeb"/>
              <w:jc w:val="center"/>
              <w:rPr>
                <w:lang w:val="en-US"/>
              </w:rPr>
            </w:pPr>
            <w:r w:rsidRPr="00673A0D">
              <w:rPr>
                <w:lang w:val="en-US"/>
              </w:rPr>
              <w:t>0.45</w:t>
            </w:r>
          </w:p>
        </w:tc>
      </w:tr>
      <w:tr w:rsidR="00960358" w:rsidRPr="00673A0D" w14:paraId="2848F5AE" w14:textId="77777777" w:rsidTr="00960358">
        <w:tc>
          <w:tcPr>
            <w:tcW w:w="704" w:type="dxa"/>
          </w:tcPr>
          <w:p w14:paraId="2112595A" w14:textId="4B5E2B41" w:rsidR="00960358" w:rsidRPr="00673A0D" w:rsidRDefault="00960358" w:rsidP="00133EE6">
            <w:pPr>
              <w:pStyle w:val="NormalWeb"/>
              <w:jc w:val="both"/>
              <w:rPr>
                <w:lang w:val="en-US"/>
              </w:rPr>
            </w:pPr>
            <w:r w:rsidRPr="00673A0D">
              <w:rPr>
                <w:lang w:val="en-US"/>
              </w:rPr>
              <w:t>5</w:t>
            </w:r>
          </w:p>
        </w:tc>
        <w:tc>
          <w:tcPr>
            <w:tcW w:w="5277" w:type="dxa"/>
          </w:tcPr>
          <w:p w14:paraId="1E00C058" w14:textId="43C19A52" w:rsidR="00960358" w:rsidRPr="00673A0D" w:rsidRDefault="00960358" w:rsidP="00133EE6">
            <w:pPr>
              <w:pStyle w:val="NormalWeb"/>
              <w:jc w:val="both"/>
              <w:rPr>
                <w:lang w:val="en-US"/>
              </w:rPr>
            </w:pPr>
            <w:r w:rsidRPr="00673A0D">
              <w:rPr>
                <w:lang w:val="en-US"/>
              </w:rPr>
              <w:t>Soybean</w:t>
            </w:r>
          </w:p>
        </w:tc>
        <w:tc>
          <w:tcPr>
            <w:tcW w:w="3364" w:type="dxa"/>
          </w:tcPr>
          <w:p w14:paraId="1DDFA851" w14:textId="0EF33356" w:rsidR="00960358" w:rsidRPr="00673A0D" w:rsidRDefault="00960358" w:rsidP="00960358">
            <w:pPr>
              <w:pStyle w:val="NormalWeb"/>
              <w:jc w:val="center"/>
              <w:rPr>
                <w:lang w:val="en-US"/>
              </w:rPr>
            </w:pPr>
            <w:r w:rsidRPr="00673A0D">
              <w:rPr>
                <w:lang w:val="en-US"/>
              </w:rPr>
              <w:t>0.45</w:t>
            </w:r>
          </w:p>
        </w:tc>
      </w:tr>
      <w:tr w:rsidR="00960358" w:rsidRPr="00673A0D" w14:paraId="04C24BC2" w14:textId="77777777" w:rsidTr="00960358">
        <w:tc>
          <w:tcPr>
            <w:tcW w:w="704" w:type="dxa"/>
          </w:tcPr>
          <w:p w14:paraId="409FFCFC" w14:textId="76AE42D0" w:rsidR="00960358" w:rsidRPr="00673A0D" w:rsidRDefault="00960358" w:rsidP="00133EE6">
            <w:pPr>
              <w:pStyle w:val="NormalWeb"/>
              <w:jc w:val="both"/>
              <w:rPr>
                <w:lang w:val="en-US"/>
              </w:rPr>
            </w:pPr>
            <w:r w:rsidRPr="00673A0D">
              <w:rPr>
                <w:lang w:val="en-US"/>
              </w:rPr>
              <w:t>6</w:t>
            </w:r>
          </w:p>
        </w:tc>
        <w:tc>
          <w:tcPr>
            <w:tcW w:w="5277" w:type="dxa"/>
          </w:tcPr>
          <w:p w14:paraId="1205EE47" w14:textId="7A5F0BA2" w:rsidR="00960358" w:rsidRPr="00673A0D" w:rsidRDefault="00960358" w:rsidP="00133EE6">
            <w:pPr>
              <w:pStyle w:val="NormalWeb"/>
              <w:jc w:val="both"/>
              <w:rPr>
                <w:lang w:val="en-US"/>
              </w:rPr>
            </w:pPr>
            <w:r w:rsidRPr="00673A0D">
              <w:rPr>
                <w:lang w:val="en-US"/>
              </w:rPr>
              <w:t>Coconut</w:t>
            </w:r>
          </w:p>
        </w:tc>
        <w:tc>
          <w:tcPr>
            <w:tcW w:w="3364" w:type="dxa"/>
          </w:tcPr>
          <w:p w14:paraId="0892DA03" w14:textId="759A6543" w:rsidR="00960358" w:rsidRPr="00673A0D" w:rsidRDefault="00960358" w:rsidP="00960358">
            <w:pPr>
              <w:pStyle w:val="NormalWeb"/>
              <w:jc w:val="center"/>
              <w:rPr>
                <w:lang w:val="en-US"/>
              </w:rPr>
            </w:pPr>
            <w:r w:rsidRPr="00673A0D">
              <w:rPr>
                <w:lang w:val="en-US"/>
              </w:rPr>
              <w:t>0.34</w:t>
            </w:r>
          </w:p>
        </w:tc>
      </w:tr>
      <w:tr w:rsidR="00960358" w:rsidRPr="00673A0D" w14:paraId="5AB3ABC2" w14:textId="77777777" w:rsidTr="00960358">
        <w:tc>
          <w:tcPr>
            <w:tcW w:w="704" w:type="dxa"/>
          </w:tcPr>
          <w:p w14:paraId="5E0291CF" w14:textId="16462ADD" w:rsidR="00960358" w:rsidRPr="00673A0D" w:rsidRDefault="00960358" w:rsidP="00133EE6">
            <w:pPr>
              <w:pStyle w:val="NormalWeb"/>
              <w:jc w:val="both"/>
              <w:rPr>
                <w:lang w:val="en-US"/>
              </w:rPr>
            </w:pPr>
            <w:r w:rsidRPr="00673A0D">
              <w:rPr>
                <w:lang w:val="en-US"/>
              </w:rPr>
              <w:t>7</w:t>
            </w:r>
          </w:p>
        </w:tc>
        <w:tc>
          <w:tcPr>
            <w:tcW w:w="5277" w:type="dxa"/>
          </w:tcPr>
          <w:p w14:paraId="2CE0FA77" w14:textId="0B87A8BB" w:rsidR="00960358" w:rsidRPr="00673A0D" w:rsidRDefault="00960358" w:rsidP="00133EE6">
            <w:pPr>
              <w:pStyle w:val="NormalWeb"/>
              <w:jc w:val="both"/>
              <w:rPr>
                <w:lang w:val="en-US"/>
              </w:rPr>
            </w:pPr>
            <w:r w:rsidRPr="00673A0D">
              <w:rPr>
                <w:lang w:val="en-US"/>
              </w:rPr>
              <w:t>Cotton</w:t>
            </w:r>
          </w:p>
        </w:tc>
        <w:tc>
          <w:tcPr>
            <w:tcW w:w="3364" w:type="dxa"/>
          </w:tcPr>
          <w:p w14:paraId="4DF5686B" w14:textId="760F4893" w:rsidR="00960358" w:rsidRPr="00673A0D" w:rsidRDefault="00960358" w:rsidP="00960358">
            <w:pPr>
              <w:pStyle w:val="NormalWeb"/>
              <w:jc w:val="center"/>
              <w:rPr>
                <w:lang w:val="en-US"/>
              </w:rPr>
            </w:pPr>
            <w:r w:rsidRPr="00673A0D">
              <w:rPr>
                <w:lang w:val="en-US"/>
              </w:rPr>
              <w:t>0.19</w:t>
            </w:r>
          </w:p>
        </w:tc>
      </w:tr>
    </w:tbl>
    <w:p w14:paraId="5A22FF43" w14:textId="04EAA139" w:rsidR="00960358" w:rsidRPr="00673A0D" w:rsidRDefault="00960358" w:rsidP="00133EE6">
      <w:pPr>
        <w:pStyle w:val="NormalWeb"/>
        <w:jc w:val="both"/>
        <w:rPr>
          <w:b/>
          <w:bCs/>
          <w:i/>
          <w:iCs/>
          <w:sz w:val="20"/>
          <w:szCs w:val="20"/>
          <w:lang w:val="en-US"/>
        </w:rPr>
      </w:pPr>
      <w:r w:rsidRPr="00673A0D">
        <w:rPr>
          <w:b/>
          <w:bCs/>
          <w:i/>
          <w:iCs/>
          <w:sz w:val="20"/>
          <w:szCs w:val="20"/>
          <w:lang w:val="en-US"/>
        </w:rPr>
        <w:t>Source: Oil World (2008) oil world statistics ISTA Mielke GmBh Hamburg</w:t>
      </w:r>
    </w:p>
    <w:p w14:paraId="5AA20F67" w14:textId="1973FC35" w:rsidR="00960358" w:rsidRPr="00673A0D" w:rsidRDefault="00960358" w:rsidP="00133EE6">
      <w:pPr>
        <w:pStyle w:val="NormalWeb"/>
        <w:jc w:val="both"/>
        <w:rPr>
          <w:lang w:val="en-US"/>
        </w:rPr>
      </w:pPr>
      <w:r w:rsidRPr="00673A0D">
        <w:rPr>
          <w:lang w:val="en-US"/>
        </w:rPr>
        <w:t xml:space="preserve">The productivity of palm oil is eight-ten times higher than the productivity of other vegetable oils. Thus, with less land, palm oil plantations can produce more vegetable oil. The vegetable oil productivity data also </w:t>
      </w:r>
      <w:r w:rsidR="00F876F9" w:rsidRPr="00673A0D">
        <w:rPr>
          <w:lang w:val="en-US"/>
        </w:rPr>
        <w:t xml:space="preserve">reveal that oil palm plantations are the most efficient crops in converting solar energy into vegetable oils. </w:t>
      </w:r>
    </w:p>
    <w:p w14:paraId="119F366D" w14:textId="50569163" w:rsidR="00F876F9" w:rsidRPr="00673A0D" w:rsidRDefault="00F876F9" w:rsidP="00133EE6">
      <w:pPr>
        <w:pStyle w:val="NormalWeb"/>
        <w:jc w:val="both"/>
        <w:rPr>
          <w:lang w:val="en-US"/>
        </w:rPr>
      </w:pPr>
      <w:r w:rsidRPr="00673A0D">
        <w:rPr>
          <w:lang w:val="en-US"/>
        </w:rPr>
        <w:t>Because of this difference in oil productivity per hectare, there has been a major change in the share of palm oil and soybean oil production in the world vegetable market (see Figure below)</w:t>
      </w:r>
    </w:p>
    <w:tbl>
      <w:tblPr>
        <w:tblW w:w="10233" w:type="dxa"/>
        <w:tblLook w:val="04A0" w:firstRow="1" w:lastRow="0" w:firstColumn="1" w:lastColumn="0" w:noHBand="0" w:noVBand="1"/>
      </w:tblPr>
      <w:tblGrid>
        <w:gridCol w:w="1113"/>
        <w:gridCol w:w="912"/>
        <w:gridCol w:w="912"/>
        <w:gridCol w:w="912"/>
        <w:gridCol w:w="912"/>
        <w:gridCol w:w="912"/>
        <w:gridCol w:w="912"/>
        <w:gridCol w:w="912"/>
        <w:gridCol w:w="912"/>
        <w:gridCol w:w="912"/>
        <w:gridCol w:w="912"/>
      </w:tblGrid>
      <w:tr w:rsidR="003A59F0" w:rsidRPr="003A59F0" w14:paraId="3FB8ACCD" w14:textId="77777777" w:rsidTr="00C66199">
        <w:trPr>
          <w:trHeight w:val="391"/>
        </w:trPr>
        <w:tc>
          <w:tcPr>
            <w:tcW w:w="1113" w:type="dxa"/>
            <w:tcBorders>
              <w:top w:val="nil"/>
              <w:left w:val="nil"/>
              <w:bottom w:val="nil"/>
              <w:right w:val="nil"/>
            </w:tcBorders>
            <w:shd w:val="clear" w:color="auto" w:fill="auto"/>
            <w:noWrap/>
            <w:vAlign w:val="bottom"/>
            <w:hideMark/>
          </w:tcPr>
          <w:p w14:paraId="56EDAAA4" w14:textId="77777777" w:rsidR="003A59F0" w:rsidRPr="003A59F0" w:rsidRDefault="003A59F0" w:rsidP="003A59F0">
            <w:pPr>
              <w:spacing w:after="0" w:line="240" w:lineRule="auto"/>
              <w:rPr>
                <w:rFonts w:ascii="Times New Roman" w:eastAsia="Times New Roman" w:hAnsi="Times New Roman" w:cs="Times New Roman"/>
                <w:sz w:val="24"/>
                <w:szCs w:val="24"/>
                <w:lang w:val="en-US" w:eastAsia="ru-RU"/>
              </w:rPr>
            </w:pPr>
          </w:p>
        </w:tc>
        <w:tc>
          <w:tcPr>
            <w:tcW w:w="912" w:type="dxa"/>
            <w:tcBorders>
              <w:top w:val="nil"/>
              <w:left w:val="nil"/>
              <w:bottom w:val="nil"/>
              <w:right w:val="nil"/>
            </w:tcBorders>
            <w:shd w:val="clear" w:color="auto" w:fill="auto"/>
            <w:noWrap/>
            <w:vAlign w:val="bottom"/>
            <w:hideMark/>
          </w:tcPr>
          <w:p w14:paraId="76B833FC"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1965</w:t>
            </w:r>
          </w:p>
        </w:tc>
        <w:tc>
          <w:tcPr>
            <w:tcW w:w="912" w:type="dxa"/>
            <w:tcBorders>
              <w:top w:val="nil"/>
              <w:left w:val="nil"/>
              <w:bottom w:val="nil"/>
              <w:right w:val="nil"/>
            </w:tcBorders>
            <w:shd w:val="clear" w:color="auto" w:fill="auto"/>
            <w:noWrap/>
            <w:vAlign w:val="bottom"/>
            <w:hideMark/>
          </w:tcPr>
          <w:p w14:paraId="13AF45A8"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4610024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F34BCED"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1980</w:t>
            </w:r>
          </w:p>
        </w:tc>
        <w:tc>
          <w:tcPr>
            <w:tcW w:w="912" w:type="dxa"/>
            <w:tcBorders>
              <w:top w:val="nil"/>
              <w:left w:val="nil"/>
              <w:bottom w:val="nil"/>
              <w:right w:val="nil"/>
            </w:tcBorders>
            <w:shd w:val="clear" w:color="auto" w:fill="auto"/>
            <w:noWrap/>
            <w:vAlign w:val="bottom"/>
            <w:hideMark/>
          </w:tcPr>
          <w:p w14:paraId="5540CD74"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3216B0A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B831A5C"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2016</w:t>
            </w:r>
          </w:p>
        </w:tc>
        <w:tc>
          <w:tcPr>
            <w:tcW w:w="912" w:type="dxa"/>
            <w:tcBorders>
              <w:top w:val="nil"/>
              <w:left w:val="nil"/>
              <w:bottom w:val="nil"/>
              <w:right w:val="nil"/>
            </w:tcBorders>
            <w:shd w:val="clear" w:color="auto" w:fill="auto"/>
            <w:noWrap/>
            <w:vAlign w:val="bottom"/>
            <w:hideMark/>
          </w:tcPr>
          <w:p w14:paraId="5F96F74A"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3D99B0B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32FE30A" w14:textId="77777777" w:rsidR="003A59F0" w:rsidRDefault="003A59F0" w:rsidP="003A59F0">
            <w:pPr>
              <w:spacing w:after="0" w:line="240" w:lineRule="auto"/>
              <w:rPr>
                <w:rFonts w:ascii="Times New Roman" w:eastAsia="Times New Roman" w:hAnsi="Times New Roman" w:cs="Times New Roman"/>
                <w:sz w:val="24"/>
                <w:szCs w:val="24"/>
                <w:lang w:eastAsia="ru-RU"/>
              </w:rPr>
            </w:pPr>
          </w:p>
          <w:p w14:paraId="4C1E4137" w14:textId="35F13FF8" w:rsidR="00C66199" w:rsidRPr="003A59F0" w:rsidRDefault="00C66199" w:rsidP="003A59F0">
            <w:pPr>
              <w:spacing w:after="0" w:line="240" w:lineRule="auto"/>
              <w:rPr>
                <w:rFonts w:ascii="Times New Roman" w:eastAsia="Times New Roman" w:hAnsi="Times New Roman" w:cs="Times New Roman"/>
                <w:sz w:val="24"/>
                <w:szCs w:val="24"/>
                <w:lang w:eastAsia="ru-RU"/>
              </w:rPr>
            </w:pPr>
          </w:p>
        </w:tc>
      </w:tr>
      <w:tr w:rsidR="003A59F0" w:rsidRPr="003A59F0" w14:paraId="7C18D628" w14:textId="77777777" w:rsidTr="00C66199">
        <w:trPr>
          <w:trHeight w:val="391"/>
        </w:trPr>
        <w:tc>
          <w:tcPr>
            <w:tcW w:w="1113" w:type="dxa"/>
            <w:tcBorders>
              <w:top w:val="nil"/>
              <w:left w:val="nil"/>
              <w:bottom w:val="nil"/>
              <w:right w:val="nil"/>
            </w:tcBorders>
            <w:shd w:val="clear" w:color="auto" w:fill="auto"/>
            <w:noWrap/>
            <w:vAlign w:val="bottom"/>
            <w:hideMark/>
          </w:tcPr>
          <w:p w14:paraId="2ACA1BCD" w14:textId="21E098C4"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3360" behindDoc="0" locked="0" layoutInCell="1" allowOverlap="1" wp14:anchorId="35448F38" wp14:editId="3AAD3540">
                  <wp:simplePos x="0" y="0"/>
                  <wp:positionH relativeFrom="column">
                    <wp:posOffset>0</wp:posOffset>
                  </wp:positionH>
                  <wp:positionV relativeFrom="paragraph">
                    <wp:posOffset>0</wp:posOffset>
                  </wp:positionV>
                  <wp:extent cx="1857375" cy="1514475"/>
                  <wp:effectExtent l="0" t="0" r="9525" b="9525"/>
                  <wp:wrapNone/>
                  <wp:docPr id="15" name="Диаграмма 15">
                    <a:extLst xmlns:a="http://schemas.openxmlformats.org/drawingml/2006/main">
                      <a:ext uri="{FF2B5EF4-FFF2-40B4-BE49-F238E27FC236}">
                        <a16:creationId xmlns:a16="http://schemas.microsoft.com/office/drawing/2014/main" id="{5BD803EC-B41E-42FC-923E-26A4A49F8F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4384" behindDoc="0" locked="0" layoutInCell="1" allowOverlap="1" wp14:anchorId="22371D67" wp14:editId="36156518">
                  <wp:simplePos x="0" y="0"/>
                  <wp:positionH relativeFrom="column">
                    <wp:posOffset>1847850</wp:posOffset>
                  </wp:positionH>
                  <wp:positionV relativeFrom="paragraph">
                    <wp:posOffset>0</wp:posOffset>
                  </wp:positionV>
                  <wp:extent cx="1819275" cy="1514475"/>
                  <wp:effectExtent l="0" t="0" r="9525" b="9525"/>
                  <wp:wrapNone/>
                  <wp:docPr id="14" name="Диаграмма 14">
                    <a:extLst xmlns:a="http://schemas.openxmlformats.org/drawingml/2006/main">
                      <a:ext uri="{FF2B5EF4-FFF2-40B4-BE49-F238E27FC236}">
                        <a16:creationId xmlns:a16="http://schemas.microsoft.com/office/drawing/2014/main" id="{F90BEF04-31EC-4DF8-9F5A-F2FC1EB8F1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5408" behindDoc="0" locked="0" layoutInCell="1" allowOverlap="1" wp14:anchorId="376FCBE4" wp14:editId="680532CF">
                  <wp:simplePos x="0" y="0"/>
                  <wp:positionH relativeFrom="column">
                    <wp:posOffset>3638550</wp:posOffset>
                  </wp:positionH>
                  <wp:positionV relativeFrom="paragraph">
                    <wp:posOffset>9525</wp:posOffset>
                  </wp:positionV>
                  <wp:extent cx="2419350" cy="1504950"/>
                  <wp:effectExtent l="0" t="0" r="0" b="0"/>
                  <wp:wrapNone/>
                  <wp:docPr id="13" name="Диаграмма 13">
                    <a:extLst xmlns:a="http://schemas.openxmlformats.org/drawingml/2006/main">
                      <a:ext uri="{FF2B5EF4-FFF2-40B4-BE49-F238E27FC236}">
                        <a16:creationId xmlns:a16="http://schemas.microsoft.com/office/drawing/2014/main" id="{82F86105-2D76-4C3A-ACD3-0C3E30D0B1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897" w:type="dxa"/>
              <w:tblCellSpacing w:w="0" w:type="dxa"/>
              <w:tblCellMar>
                <w:left w:w="0" w:type="dxa"/>
                <w:right w:w="0" w:type="dxa"/>
              </w:tblCellMar>
              <w:tblLook w:val="04A0" w:firstRow="1" w:lastRow="0" w:firstColumn="1" w:lastColumn="0" w:noHBand="0" w:noVBand="1"/>
            </w:tblPr>
            <w:tblGrid>
              <w:gridCol w:w="897"/>
            </w:tblGrid>
            <w:tr w:rsidR="003A59F0" w:rsidRPr="003A59F0" w14:paraId="623D4E01" w14:textId="77777777" w:rsidTr="00C66199">
              <w:trPr>
                <w:trHeight w:val="391"/>
                <w:tblCellSpacing w:w="0" w:type="dxa"/>
              </w:trPr>
              <w:tc>
                <w:tcPr>
                  <w:tcW w:w="897" w:type="dxa"/>
                  <w:tcBorders>
                    <w:top w:val="nil"/>
                    <w:left w:val="nil"/>
                    <w:bottom w:val="nil"/>
                    <w:right w:val="nil"/>
                  </w:tcBorders>
                  <w:shd w:val="clear" w:color="auto" w:fill="auto"/>
                  <w:noWrap/>
                  <w:vAlign w:val="bottom"/>
                  <w:hideMark/>
                </w:tcPr>
                <w:p w14:paraId="26994D75" w14:textId="77777777"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p>
              </w:tc>
            </w:tr>
          </w:tbl>
          <w:p w14:paraId="64E667A9" w14:textId="77777777"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76239C6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35003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F568A0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5F95FD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ADFAC2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1DB37C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1F83D7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B59D1A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FCD81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9DF06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6997F19E" w14:textId="77777777" w:rsidTr="00C66199">
        <w:trPr>
          <w:trHeight w:val="391"/>
        </w:trPr>
        <w:tc>
          <w:tcPr>
            <w:tcW w:w="1113" w:type="dxa"/>
            <w:tcBorders>
              <w:top w:val="nil"/>
              <w:left w:val="nil"/>
              <w:bottom w:val="nil"/>
              <w:right w:val="nil"/>
            </w:tcBorders>
            <w:shd w:val="clear" w:color="auto" w:fill="auto"/>
            <w:noWrap/>
            <w:vAlign w:val="bottom"/>
            <w:hideMark/>
          </w:tcPr>
          <w:p w14:paraId="5FDCC1A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2FF018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BE9B52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D6E28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1BDDED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C19B6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16C6D9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7B569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58E51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FE8F8F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A4D54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453BFA59" w14:textId="77777777" w:rsidTr="00C66199">
        <w:trPr>
          <w:trHeight w:val="391"/>
        </w:trPr>
        <w:tc>
          <w:tcPr>
            <w:tcW w:w="1113" w:type="dxa"/>
            <w:tcBorders>
              <w:top w:val="nil"/>
              <w:left w:val="nil"/>
              <w:bottom w:val="nil"/>
              <w:right w:val="nil"/>
            </w:tcBorders>
            <w:shd w:val="clear" w:color="auto" w:fill="auto"/>
            <w:noWrap/>
            <w:vAlign w:val="bottom"/>
            <w:hideMark/>
          </w:tcPr>
          <w:p w14:paraId="051D23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9F6FEC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399ECE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322C32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7A6339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E171CE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7BD727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9DDD656"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E749288"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9265DD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FEA293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1F04C078" w14:textId="77777777" w:rsidTr="00C66199">
        <w:trPr>
          <w:trHeight w:val="391"/>
        </w:trPr>
        <w:tc>
          <w:tcPr>
            <w:tcW w:w="1113" w:type="dxa"/>
            <w:tcBorders>
              <w:top w:val="nil"/>
              <w:left w:val="nil"/>
              <w:bottom w:val="nil"/>
              <w:right w:val="nil"/>
            </w:tcBorders>
            <w:shd w:val="clear" w:color="auto" w:fill="auto"/>
            <w:noWrap/>
            <w:vAlign w:val="bottom"/>
            <w:hideMark/>
          </w:tcPr>
          <w:p w14:paraId="28FFFA3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F2F715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A1CE50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18A710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1F7B6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DCCFD8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C27BE5F"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BBF2C89"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01C5E8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B6279C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BE72F0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541FE8AF" w14:textId="77777777" w:rsidTr="00C66199">
        <w:trPr>
          <w:trHeight w:val="391"/>
        </w:trPr>
        <w:tc>
          <w:tcPr>
            <w:tcW w:w="1113" w:type="dxa"/>
            <w:tcBorders>
              <w:top w:val="nil"/>
              <w:left w:val="nil"/>
              <w:bottom w:val="nil"/>
              <w:right w:val="nil"/>
            </w:tcBorders>
            <w:shd w:val="clear" w:color="auto" w:fill="auto"/>
            <w:noWrap/>
            <w:vAlign w:val="bottom"/>
            <w:hideMark/>
          </w:tcPr>
          <w:p w14:paraId="14587EA8"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1FFBC5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AE8154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484A12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263725"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81E5D36"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FEAA12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73457E4"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E1C84B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1B6359"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0BF40A5"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bl>
    <w:p w14:paraId="24145743" w14:textId="5F25B738" w:rsidR="00F876F9" w:rsidRDefault="003A59F0" w:rsidP="00133EE6">
      <w:pPr>
        <w:pStyle w:val="NormalWeb"/>
        <w:jc w:val="both"/>
        <w:rPr>
          <w:b/>
          <w:bCs/>
          <w:i/>
          <w:iCs/>
          <w:sz w:val="20"/>
          <w:szCs w:val="20"/>
          <w:lang w:val="en-US"/>
        </w:rPr>
      </w:pPr>
      <w:r w:rsidRPr="00673A0D">
        <w:rPr>
          <w:b/>
          <w:bCs/>
          <w:i/>
          <w:iCs/>
          <w:sz w:val="20"/>
          <w:szCs w:val="20"/>
          <w:lang w:val="en-US"/>
        </w:rPr>
        <w:t>Changes in production shares of four major global vegetable oils (USDA 2017)</w:t>
      </w:r>
    </w:p>
    <w:p w14:paraId="44F2CF37" w14:textId="77777777" w:rsidR="00C66199" w:rsidRPr="00673A0D" w:rsidRDefault="00C66199" w:rsidP="00133EE6">
      <w:pPr>
        <w:pStyle w:val="NormalWeb"/>
        <w:jc w:val="both"/>
        <w:rPr>
          <w:b/>
          <w:bCs/>
          <w:i/>
          <w:iCs/>
          <w:sz w:val="20"/>
          <w:szCs w:val="20"/>
          <w:lang w:val="en-US"/>
        </w:rPr>
      </w:pPr>
    </w:p>
    <w:p w14:paraId="40D621FF" w14:textId="6F81C72B" w:rsidR="003A59F0" w:rsidRPr="00673A0D" w:rsidRDefault="003A59F0" w:rsidP="00133EE6">
      <w:pPr>
        <w:pStyle w:val="NormalWeb"/>
        <w:jc w:val="both"/>
        <w:rPr>
          <w:lang w:val="en-US"/>
        </w:rPr>
      </w:pPr>
      <w:r w:rsidRPr="00673A0D">
        <w:rPr>
          <w:lang w:val="en-US"/>
        </w:rPr>
        <w:t xml:space="preserve">As the table shows, the share of palm oil increased from 22 percent in 1965 to 40 percent in 2016, while the share of soybean oil fell from 59 percent </w:t>
      </w:r>
      <w:r w:rsidR="00C83B25" w:rsidRPr="00673A0D">
        <w:rPr>
          <w:lang w:val="en-US"/>
        </w:rPr>
        <w:t xml:space="preserve">to 33 percent in the same period. Thus, it is quite obvious that the share of palm oil in the world’s vegetable oil production is not due to the large size of palm oil plantations but due to higher pam oil productivity than other vegetable oil-producing plants. </w:t>
      </w:r>
    </w:p>
    <w:p w14:paraId="72762BDA" w14:textId="77777777" w:rsidR="00673A0D" w:rsidRDefault="00673A0D" w:rsidP="00133EE6">
      <w:pPr>
        <w:pStyle w:val="NormalWeb"/>
        <w:jc w:val="both"/>
        <w:rPr>
          <w:lang w:val="en-US"/>
        </w:rPr>
      </w:pPr>
      <w:r w:rsidRPr="00673A0D">
        <w:rPr>
          <w:b/>
          <w:bCs/>
          <w:lang w:val="en-US"/>
        </w:rPr>
        <w:t>Advantages</w:t>
      </w:r>
      <w:r>
        <w:rPr>
          <w:lang w:val="en-US"/>
        </w:rPr>
        <w:t xml:space="preserve"> </w:t>
      </w:r>
    </w:p>
    <w:p w14:paraId="2F88BE7D" w14:textId="3A7D4634" w:rsidR="003A59F0" w:rsidRDefault="00C83B25" w:rsidP="00133EE6">
      <w:pPr>
        <w:pStyle w:val="NormalWeb"/>
        <w:jc w:val="both"/>
        <w:rPr>
          <w:lang w:val="en-US"/>
        </w:rPr>
      </w:pPr>
      <w:r w:rsidRPr="00673A0D">
        <w:rPr>
          <w:lang w:val="en-US"/>
        </w:rPr>
        <w:t xml:space="preserve">According to various studies, diesel fuel replacement with palm biodiesel will reduce greenhouse emissions from diesel engines by 50-60 percent. </w:t>
      </w:r>
    </w:p>
    <w:p w14:paraId="72FB040A" w14:textId="4BEC700F" w:rsidR="00673A0D" w:rsidRDefault="00673A0D" w:rsidP="00133EE6">
      <w:pPr>
        <w:pStyle w:val="NormalWeb"/>
        <w:jc w:val="both"/>
        <w:rPr>
          <w:lang w:val="en-US"/>
        </w:rPr>
      </w:pPr>
      <w:r>
        <w:rPr>
          <w:lang w:val="en-US"/>
        </w:rPr>
        <w:t xml:space="preserve">Palm oil as a vegetable oil is available in sufficient volume globally at competitive prices. This is why it is consumed almost in every country in the world. </w:t>
      </w:r>
      <w:r w:rsidR="0074690D">
        <w:rPr>
          <w:lang w:val="en-US"/>
        </w:rPr>
        <w:t>Due to its availability, negative campaigns against the palm oil especially in terms of its nutritional properties</w:t>
      </w:r>
      <w:r w:rsidR="0074690D" w:rsidRPr="00C66199">
        <w:rPr>
          <w:lang w:val="en-US"/>
        </w:rPr>
        <w:t xml:space="preserve"> </w:t>
      </w:r>
      <w:r w:rsidR="0074690D">
        <w:rPr>
          <w:lang w:val="en-US"/>
        </w:rPr>
        <w:t>appeared.</w:t>
      </w:r>
    </w:p>
    <w:p w14:paraId="76239B70" w14:textId="2EDC1AA9" w:rsidR="00673A0D" w:rsidRDefault="009714E4" w:rsidP="00133EE6">
      <w:pPr>
        <w:pStyle w:val="NormalWeb"/>
        <w:jc w:val="both"/>
        <w:rPr>
          <w:lang w:val="en-US"/>
        </w:rPr>
      </w:pPr>
      <w:r>
        <w:rPr>
          <w:lang w:val="en-US"/>
        </w:rPr>
        <w:lastRenderedPageBreak/>
        <w:t>According to nutritionists, palm oil contains a stable proportion of saturated fatty acid and unsaturated fatty acid. The fatty acid composition of palm oil is saturated fatty acid that consists of 44 percent palmitic acid, 5 percent stearic fatty acid and monounsaturated fatty acid (MUFA) that consists of 10 percent linoleic fatty acid and 0.4 percent</w:t>
      </w:r>
      <w:r w:rsidR="00A556CE">
        <w:rPr>
          <w:lang w:val="en-US"/>
        </w:rPr>
        <w:t xml:space="preserve"> alpha linoleic fatty acid. As a whole, palm oil has the behavioural characteristics of monounsaturated oils (United States Department of Agriculture, 1979; Cottrell, 1991; Small, 1991; Choudburyet al., 1995; Kritchevsky et al., 2000; Ong and Goh, 2002; FAO, 2010; Hariyadi, 2010; GiriwonodanAndarwulan, 2016). </w:t>
      </w:r>
    </w:p>
    <w:p w14:paraId="4CF7986A" w14:textId="487E16F1" w:rsidR="00A556CE" w:rsidRPr="005D0611" w:rsidRDefault="00A556CE" w:rsidP="00133EE6">
      <w:pPr>
        <w:pStyle w:val="NormalWeb"/>
        <w:jc w:val="both"/>
        <w:rPr>
          <w:b/>
          <w:bCs/>
          <w:lang w:val="en-US"/>
        </w:rPr>
      </w:pPr>
      <w:r w:rsidRPr="005D0611">
        <w:rPr>
          <w:b/>
          <w:bCs/>
          <w:lang w:val="en-US"/>
        </w:rPr>
        <w:t>Composition of fatty acid in palm oil</w:t>
      </w:r>
    </w:p>
    <w:tbl>
      <w:tblPr>
        <w:tblStyle w:val="TableGrid"/>
        <w:tblW w:w="0" w:type="auto"/>
        <w:tblLook w:val="04A0" w:firstRow="1" w:lastRow="0" w:firstColumn="1" w:lastColumn="0" w:noHBand="0" w:noVBand="1"/>
      </w:tblPr>
      <w:tblGrid>
        <w:gridCol w:w="704"/>
        <w:gridCol w:w="3968"/>
        <w:gridCol w:w="2336"/>
        <w:gridCol w:w="2337"/>
      </w:tblGrid>
      <w:tr w:rsidR="00A556CE" w14:paraId="00D929D5" w14:textId="77777777" w:rsidTr="00BC77EA">
        <w:tc>
          <w:tcPr>
            <w:tcW w:w="704" w:type="dxa"/>
            <w:vMerge w:val="restart"/>
          </w:tcPr>
          <w:p w14:paraId="73DFAB92" w14:textId="0DFD3847" w:rsidR="00A556CE" w:rsidRDefault="00A556CE" w:rsidP="00133EE6">
            <w:pPr>
              <w:pStyle w:val="NormalWeb"/>
              <w:jc w:val="both"/>
              <w:rPr>
                <w:lang w:val="en-US"/>
              </w:rPr>
            </w:pPr>
            <w:r>
              <w:rPr>
                <w:lang w:val="en-US"/>
              </w:rPr>
              <w:t>No.</w:t>
            </w:r>
          </w:p>
        </w:tc>
        <w:tc>
          <w:tcPr>
            <w:tcW w:w="3968" w:type="dxa"/>
            <w:vMerge w:val="restart"/>
          </w:tcPr>
          <w:p w14:paraId="66C5E617" w14:textId="1BEDD7FE" w:rsidR="00A556CE" w:rsidRDefault="00A556CE" w:rsidP="00A556CE">
            <w:pPr>
              <w:pStyle w:val="NormalWeb"/>
              <w:jc w:val="center"/>
              <w:rPr>
                <w:lang w:val="en-US"/>
              </w:rPr>
            </w:pPr>
            <w:r>
              <w:rPr>
                <w:lang w:val="en-US"/>
              </w:rPr>
              <w:t>Fatty acid</w:t>
            </w:r>
          </w:p>
        </w:tc>
        <w:tc>
          <w:tcPr>
            <w:tcW w:w="4673" w:type="dxa"/>
            <w:gridSpan w:val="2"/>
          </w:tcPr>
          <w:p w14:paraId="43C1E774" w14:textId="31D0E058" w:rsidR="00A556CE" w:rsidRDefault="00A556CE" w:rsidP="00A556CE">
            <w:pPr>
              <w:pStyle w:val="NormalWeb"/>
              <w:jc w:val="center"/>
              <w:rPr>
                <w:lang w:val="en-US"/>
              </w:rPr>
            </w:pPr>
            <w:r>
              <w:rPr>
                <w:lang w:val="en-US"/>
              </w:rPr>
              <w:t>% Total fatty acid</w:t>
            </w:r>
          </w:p>
        </w:tc>
      </w:tr>
      <w:tr w:rsidR="00A556CE" w14:paraId="3705CC13" w14:textId="77777777" w:rsidTr="00A556CE">
        <w:tc>
          <w:tcPr>
            <w:tcW w:w="704" w:type="dxa"/>
            <w:vMerge/>
          </w:tcPr>
          <w:p w14:paraId="262677F1" w14:textId="77777777" w:rsidR="00A556CE" w:rsidRDefault="00A556CE" w:rsidP="00133EE6">
            <w:pPr>
              <w:pStyle w:val="NormalWeb"/>
              <w:jc w:val="both"/>
              <w:rPr>
                <w:lang w:val="en-US"/>
              </w:rPr>
            </w:pPr>
          </w:p>
        </w:tc>
        <w:tc>
          <w:tcPr>
            <w:tcW w:w="3968" w:type="dxa"/>
            <w:vMerge/>
          </w:tcPr>
          <w:p w14:paraId="2CD42ECC" w14:textId="77777777" w:rsidR="00A556CE" w:rsidRDefault="00A556CE" w:rsidP="00133EE6">
            <w:pPr>
              <w:pStyle w:val="NormalWeb"/>
              <w:jc w:val="both"/>
              <w:rPr>
                <w:lang w:val="en-US"/>
              </w:rPr>
            </w:pPr>
          </w:p>
        </w:tc>
        <w:tc>
          <w:tcPr>
            <w:tcW w:w="2336" w:type="dxa"/>
          </w:tcPr>
          <w:p w14:paraId="631409B5" w14:textId="06333947" w:rsidR="00A556CE" w:rsidRDefault="00A556CE" w:rsidP="00A556CE">
            <w:pPr>
              <w:pStyle w:val="NormalWeb"/>
              <w:jc w:val="center"/>
              <w:rPr>
                <w:lang w:val="en-US"/>
              </w:rPr>
            </w:pPr>
            <w:r>
              <w:rPr>
                <w:lang w:val="en-US"/>
              </w:rPr>
              <w:t>Range</w:t>
            </w:r>
          </w:p>
        </w:tc>
        <w:tc>
          <w:tcPr>
            <w:tcW w:w="2337" w:type="dxa"/>
          </w:tcPr>
          <w:p w14:paraId="12C552CA" w14:textId="5C987286" w:rsidR="00A556CE" w:rsidRDefault="00A556CE" w:rsidP="00A556CE">
            <w:pPr>
              <w:pStyle w:val="NormalWeb"/>
              <w:jc w:val="center"/>
              <w:rPr>
                <w:lang w:val="en-US"/>
              </w:rPr>
            </w:pPr>
            <w:r>
              <w:rPr>
                <w:lang w:val="en-US"/>
              </w:rPr>
              <w:t>Average</w:t>
            </w:r>
          </w:p>
        </w:tc>
      </w:tr>
      <w:tr w:rsidR="00A556CE" w14:paraId="1F77F00B" w14:textId="77777777" w:rsidTr="00A556CE">
        <w:tc>
          <w:tcPr>
            <w:tcW w:w="704" w:type="dxa"/>
          </w:tcPr>
          <w:p w14:paraId="7472D3AF" w14:textId="4664BB42" w:rsidR="00A556CE" w:rsidRDefault="00A556CE" w:rsidP="00133EE6">
            <w:pPr>
              <w:pStyle w:val="NormalWeb"/>
              <w:jc w:val="both"/>
              <w:rPr>
                <w:lang w:val="en-US"/>
              </w:rPr>
            </w:pPr>
            <w:r>
              <w:rPr>
                <w:lang w:val="en-US"/>
              </w:rPr>
              <w:t>1</w:t>
            </w:r>
          </w:p>
        </w:tc>
        <w:tc>
          <w:tcPr>
            <w:tcW w:w="3968" w:type="dxa"/>
          </w:tcPr>
          <w:p w14:paraId="742FD828" w14:textId="453BBCA9" w:rsidR="00A556CE" w:rsidRDefault="00A556CE" w:rsidP="00133EE6">
            <w:pPr>
              <w:pStyle w:val="NormalWeb"/>
              <w:jc w:val="both"/>
              <w:rPr>
                <w:lang w:val="en-US"/>
              </w:rPr>
            </w:pPr>
            <w:r>
              <w:rPr>
                <w:lang w:val="en-US"/>
              </w:rPr>
              <w:t>Lauric acid (C12:0)</w:t>
            </w:r>
          </w:p>
        </w:tc>
        <w:tc>
          <w:tcPr>
            <w:tcW w:w="2336" w:type="dxa"/>
          </w:tcPr>
          <w:p w14:paraId="6A8472D6" w14:textId="717E1856" w:rsidR="00A556CE" w:rsidRDefault="005D0611" w:rsidP="00133EE6">
            <w:pPr>
              <w:pStyle w:val="NormalWeb"/>
              <w:jc w:val="both"/>
              <w:rPr>
                <w:lang w:val="en-US"/>
              </w:rPr>
            </w:pPr>
            <w:r>
              <w:rPr>
                <w:lang w:val="en-US"/>
              </w:rPr>
              <w:t>0.1-1.0</w:t>
            </w:r>
          </w:p>
        </w:tc>
        <w:tc>
          <w:tcPr>
            <w:tcW w:w="2337" w:type="dxa"/>
          </w:tcPr>
          <w:p w14:paraId="763662C4" w14:textId="4A414358" w:rsidR="00A556CE" w:rsidRDefault="005D0611" w:rsidP="00133EE6">
            <w:pPr>
              <w:pStyle w:val="NormalWeb"/>
              <w:jc w:val="both"/>
              <w:rPr>
                <w:lang w:val="en-US"/>
              </w:rPr>
            </w:pPr>
            <w:r>
              <w:rPr>
                <w:lang w:val="en-US"/>
              </w:rPr>
              <w:t>0.2</w:t>
            </w:r>
          </w:p>
        </w:tc>
      </w:tr>
      <w:tr w:rsidR="00A556CE" w14:paraId="3A993DB8" w14:textId="77777777" w:rsidTr="00A556CE">
        <w:tc>
          <w:tcPr>
            <w:tcW w:w="704" w:type="dxa"/>
          </w:tcPr>
          <w:p w14:paraId="57408CC5" w14:textId="2170A70C" w:rsidR="00A556CE" w:rsidRDefault="00A556CE" w:rsidP="00133EE6">
            <w:pPr>
              <w:pStyle w:val="NormalWeb"/>
              <w:jc w:val="both"/>
              <w:rPr>
                <w:lang w:val="en-US"/>
              </w:rPr>
            </w:pPr>
            <w:r>
              <w:rPr>
                <w:lang w:val="en-US"/>
              </w:rPr>
              <w:t>2</w:t>
            </w:r>
          </w:p>
        </w:tc>
        <w:tc>
          <w:tcPr>
            <w:tcW w:w="3968" w:type="dxa"/>
          </w:tcPr>
          <w:p w14:paraId="626532F0" w14:textId="7EAF8E60" w:rsidR="00A556CE" w:rsidRDefault="00A556CE" w:rsidP="00133EE6">
            <w:pPr>
              <w:pStyle w:val="NormalWeb"/>
              <w:jc w:val="both"/>
              <w:rPr>
                <w:lang w:val="en-US"/>
              </w:rPr>
            </w:pPr>
            <w:r>
              <w:rPr>
                <w:lang w:val="en-US"/>
              </w:rPr>
              <w:t>Myristic acid (C14:0)</w:t>
            </w:r>
          </w:p>
        </w:tc>
        <w:tc>
          <w:tcPr>
            <w:tcW w:w="2336" w:type="dxa"/>
          </w:tcPr>
          <w:p w14:paraId="5F600511" w14:textId="55D693EC" w:rsidR="00A556CE" w:rsidRDefault="005D0611" w:rsidP="00133EE6">
            <w:pPr>
              <w:pStyle w:val="NormalWeb"/>
              <w:jc w:val="both"/>
              <w:rPr>
                <w:lang w:val="en-US"/>
              </w:rPr>
            </w:pPr>
            <w:r>
              <w:rPr>
                <w:lang w:val="en-US"/>
              </w:rPr>
              <w:t>0.9 0 15</w:t>
            </w:r>
          </w:p>
        </w:tc>
        <w:tc>
          <w:tcPr>
            <w:tcW w:w="2337" w:type="dxa"/>
          </w:tcPr>
          <w:p w14:paraId="01AF3BE4" w14:textId="596E441F" w:rsidR="00A556CE" w:rsidRDefault="005D0611" w:rsidP="00133EE6">
            <w:pPr>
              <w:pStyle w:val="NormalWeb"/>
              <w:jc w:val="both"/>
              <w:rPr>
                <w:lang w:val="en-US"/>
              </w:rPr>
            </w:pPr>
            <w:r>
              <w:rPr>
                <w:lang w:val="en-US"/>
              </w:rPr>
              <w:t>1.1</w:t>
            </w:r>
          </w:p>
        </w:tc>
      </w:tr>
      <w:tr w:rsidR="00A556CE" w14:paraId="2C7FA014" w14:textId="77777777" w:rsidTr="00A556CE">
        <w:tc>
          <w:tcPr>
            <w:tcW w:w="704" w:type="dxa"/>
          </w:tcPr>
          <w:p w14:paraId="23E195E9" w14:textId="79C5498D" w:rsidR="00A556CE" w:rsidRDefault="00A556CE" w:rsidP="00133EE6">
            <w:pPr>
              <w:pStyle w:val="NormalWeb"/>
              <w:jc w:val="both"/>
              <w:rPr>
                <w:lang w:val="en-US"/>
              </w:rPr>
            </w:pPr>
            <w:r>
              <w:rPr>
                <w:lang w:val="en-US"/>
              </w:rPr>
              <w:t>3</w:t>
            </w:r>
          </w:p>
        </w:tc>
        <w:tc>
          <w:tcPr>
            <w:tcW w:w="3968" w:type="dxa"/>
          </w:tcPr>
          <w:p w14:paraId="2040E2DD" w14:textId="56AFBBBF" w:rsidR="00A556CE" w:rsidRDefault="00A556CE" w:rsidP="00133EE6">
            <w:pPr>
              <w:pStyle w:val="NormalWeb"/>
              <w:jc w:val="both"/>
              <w:rPr>
                <w:lang w:val="en-US"/>
              </w:rPr>
            </w:pPr>
            <w:r>
              <w:rPr>
                <w:lang w:val="en-US"/>
              </w:rPr>
              <w:t>Palmitic acid (C16:0)</w:t>
            </w:r>
          </w:p>
        </w:tc>
        <w:tc>
          <w:tcPr>
            <w:tcW w:w="2336" w:type="dxa"/>
          </w:tcPr>
          <w:p w14:paraId="744BFC3E" w14:textId="1E4B54A9" w:rsidR="00A556CE" w:rsidRDefault="005D0611" w:rsidP="00133EE6">
            <w:pPr>
              <w:pStyle w:val="NormalWeb"/>
              <w:jc w:val="both"/>
              <w:rPr>
                <w:lang w:val="en-US"/>
              </w:rPr>
            </w:pPr>
            <w:r>
              <w:rPr>
                <w:lang w:val="en-US"/>
              </w:rPr>
              <w:t>41.8-45.8</w:t>
            </w:r>
          </w:p>
        </w:tc>
        <w:tc>
          <w:tcPr>
            <w:tcW w:w="2337" w:type="dxa"/>
          </w:tcPr>
          <w:p w14:paraId="2218CD10" w14:textId="728A1AD9" w:rsidR="00A556CE" w:rsidRDefault="005D0611" w:rsidP="00133EE6">
            <w:pPr>
              <w:pStyle w:val="NormalWeb"/>
              <w:jc w:val="both"/>
              <w:rPr>
                <w:lang w:val="en-US"/>
              </w:rPr>
            </w:pPr>
            <w:r>
              <w:rPr>
                <w:lang w:val="en-US"/>
              </w:rPr>
              <w:t>44.0</w:t>
            </w:r>
          </w:p>
        </w:tc>
      </w:tr>
      <w:tr w:rsidR="00A556CE" w14:paraId="00B0D24D" w14:textId="77777777" w:rsidTr="00A556CE">
        <w:tc>
          <w:tcPr>
            <w:tcW w:w="704" w:type="dxa"/>
          </w:tcPr>
          <w:p w14:paraId="372CDAC2" w14:textId="20A3B065" w:rsidR="00A556CE" w:rsidRDefault="00A556CE" w:rsidP="00133EE6">
            <w:pPr>
              <w:pStyle w:val="NormalWeb"/>
              <w:jc w:val="both"/>
              <w:rPr>
                <w:lang w:val="en-US"/>
              </w:rPr>
            </w:pPr>
            <w:r>
              <w:rPr>
                <w:lang w:val="en-US"/>
              </w:rPr>
              <w:t>4</w:t>
            </w:r>
          </w:p>
        </w:tc>
        <w:tc>
          <w:tcPr>
            <w:tcW w:w="3968" w:type="dxa"/>
          </w:tcPr>
          <w:p w14:paraId="4ED126DB" w14:textId="52E57965" w:rsidR="00A556CE" w:rsidRDefault="00A556CE" w:rsidP="00133EE6">
            <w:pPr>
              <w:pStyle w:val="NormalWeb"/>
              <w:jc w:val="both"/>
              <w:rPr>
                <w:lang w:val="en-US"/>
              </w:rPr>
            </w:pPr>
            <w:r>
              <w:rPr>
                <w:lang w:val="en-US"/>
              </w:rPr>
              <w:t>Palmitoleic acid (</w:t>
            </w:r>
            <w:r w:rsidR="005D0611">
              <w:rPr>
                <w:lang w:val="en-US"/>
              </w:rPr>
              <w:t>C16:1</w:t>
            </w:r>
            <w:r>
              <w:rPr>
                <w:lang w:val="en-US"/>
              </w:rPr>
              <w:t>)</w:t>
            </w:r>
          </w:p>
        </w:tc>
        <w:tc>
          <w:tcPr>
            <w:tcW w:w="2336" w:type="dxa"/>
          </w:tcPr>
          <w:p w14:paraId="48CC8C5B" w14:textId="44A287F8" w:rsidR="00A556CE" w:rsidRDefault="005D0611" w:rsidP="00133EE6">
            <w:pPr>
              <w:pStyle w:val="NormalWeb"/>
              <w:jc w:val="both"/>
              <w:rPr>
                <w:lang w:val="en-US"/>
              </w:rPr>
            </w:pPr>
            <w:r>
              <w:rPr>
                <w:lang w:val="en-US"/>
              </w:rPr>
              <w:t>0.1-0.3</w:t>
            </w:r>
          </w:p>
        </w:tc>
        <w:tc>
          <w:tcPr>
            <w:tcW w:w="2337" w:type="dxa"/>
          </w:tcPr>
          <w:p w14:paraId="6A314F01" w14:textId="1E834DAE" w:rsidR="00A556CE" w:rsidRDefault="005D0611" w:rsidP="00133EE6">
            <w:pPr>
              <w:pStyle w:val="NormalWeb"/>
              <w:jc w:val="both"/>
              <w:rPr>
                <w:lang w:val="en-US"/>
              </w:rPr>
            </w:pPr>
            <w:r>
              <w:rPr>
                <w:lang w:val="en-US"/>
              </w:rPr>
              <w:t>0.1</w:t>
            </w:r>
          </w:p>
        </w:tc>
      </w:tr>
      <w:tr w:rsidR="00A556CE" w14:paraId="42E47078" w14:textId="77777777" w:rsidTr="00A556CE">
        <w:tc>
          <w:tcPr>
            <w:tcW w:w="704" w:type="dxa"/>
          </w:tcPr>
          <w:p w14:paraId="1A808DE5" w14:textId="42B2C412" w:rsidR="00A556CE" w:rsidRDefault="00A556CE" w:rsidP="00133EE6">
            <w:pPr>
              <w:pStyle w:val="NormalWeb"/>
              <w:jc w:val="both"/>
              <w:rPr>
                <w:lang w:val="en-US"/>
              </w:rPr>
            </w:pPr>
            <w:r>
              <w:rPr>
                <w:lang w:val="en-US"/>
              </w:rPr>
              <w:t>5</w:t>
            </w:r>
          </w:p>
        </w:tc>
        <w:tc>
          <w:tcPr>
            <w:tcW w:w="3968" w:type="dxa"/>
          </w:tcPr>
          <w:p w14:paraId="50D04D54" w14:textId="4BF2C672" w:rsidR="00A556CE" w:rsidRDefault="005D0611" w:rsidP="00133EE6">
            <w:pPr>
              <w:pStyle w:val="NormalWeb"/>
              <w:jc w:val="both"/>
              <w:rPr>
                <w:lang w:val="en-US"/>
              </w:rPr>
            </w:pPr>
            <w:r>
              <w:rPr>
                <w:lang w:val="en-US"/>
              </w:rPr>
              <w:t>Stearic acid (C18:0)</w:t>
            </w:r>
          </w:p>
        </w:tc>
        <w:tc>
          <w:tcPr>
            <w:tcW w:w="2336" w:type="dxa"/>
          </w:tcPr>
          <w:p w14:paraId="62336B43" w14:textId="0BF0DD83" w:rsidR="00A556CE" w:rsidRDefault="005D0611" w:rsidP="00133EE6">
            <w:pPr>
              <w:pStyle w:val="NormalWeb"/>
              <w:jc w:val="both"/>
              <w:rPr>
                <w:lang w:val="en-US"/>
              </w:rPr>
            </w:pPr>
            <w:r>
              <w:rPr>
                <w:lang w:val="en-US"/>
              </w:rPr>
              <w:t>4.2-5.1</w:t>
            </w:r>
          </w:p>
        </w:tc>
        <w:tc>
          <w:tcPr>
            <w:tcW w:w="2337" w:type="dxa"/>
          </w:tcPr>
          <w:p w14:paraId="69A6E678" w14:textId="06A9D66C" w:rsidR="00A556CE" w:rsidRDefault="005D0611" w:rsidP="00133EE6">
            <w:pPr>
              <w:pStyle w:val="NormalWeb"/>
              <w:jc w:val="both"/>
              <w:rPr>
                <w:lang w:val="en-US"/>
              </w:rPr>
            </w:pPr>
            <w:r>
              <w:rPr>
                <w:lang w:val="en-US"/>
              </w:rPr>
              <w:t>4.5</w:t>
            </w:r>
          </w:p>
        </w:tc>
      </w:tr>
      <w:tr w:rsidR="00A556CE" w14:paraId="7DC5008F" w14:textId="77777777" w:rsidTr="00A556CE">
        <w:tc>
          <w:tcPr>
            <w:tcW w:w="704" w:type="dxa"/>
          </w:tcPr>
          <w:p w14:paraId="50BB947E" w14:textId="5F18B4EA" w:rsidR="00A556CE" w:rsidRDefault="00A556CE" w:rsidP="00133EE6">
            <w:pPr>
              <w:pStyle w:val="NormalWeb"/>
              <w:jc w:val="both"/>
              <w:rPr>
                <w:lang w:val="en-US"/>
              </w:rPr>
            </w:pPr>
            <w:r>
              <w:rPr>
                <w:lang w:val="en-US"/>
              </w:rPr>
              <w:t>6</w:t>
            </w:r>
          </w:p>
        </w:tc>
        <w:tc>
          <w:tcPr>
            <w:tcW w:w="3968" w:type="dxa"/>
          </w:tcPr>
          <w:p w14:paraId="473C8B00" w14:textId="07021915" w:rsidR="00A556CE" w:rsidRDefault="005D0611" w:rsidP="00133EE6">
            <w:pPr>
              <w:pStyle w:val="NormalWeb"/>
              <w:jc w:val="both"/>
              <w:rPr>
                <w:lang w:val="en-US"/>
              </w:rPr>
            </w:pPr>
            <w:r>
              <w:rPr>
                <w:lang w:val="en-US"/>
              </w:rPr>
              <w:t>Oleic acid (C18:1)</w:t>
            </w:r>
          </w:p>
        </w:tc>
        <w:tc>
          <w:tcPr>
            <w:tcW w:w="2336" w:type="dxa"/>
          </w:tcPr>
          <w:p w14:paraId="78AD680C" w14:textId="4CC89346" w:rsidR="00A556CE" w:rsidRDefault="005D0611" w:rsidP="00133EE6">
            <w:pPr>
              <w:pStyle w:val="NormalWeb"/>
              <w:jc w:val="both"/>
              <w:rPr>
                <w:lang w:val="en-US"/>
              </w:rPr>
            </w:pPr>
            <w:r>
              <w:rPr>
                <w:lang w:val="en-US"/>
              </w:rPr>
              <w:t>37.3-40.8</w:t>
            </w:r>
          </w:p>
        </w:tc>
        <w:tc>
          <w:tcPr>
            <w:tcW w:w="2337" w:type="dxa"/>
          </w:tcPr>
          <w:p w14:paraId="2F7D8787" w14:textId="0F7072CA" w:rsidR="00A556CE" w:rsidRDefault="005D0611" w:rsidP="00133EE6">
            <w:pPr>
              <w:pStyle w:val="NormalWeb"/>
              <w:jc w:val="both"/>
              <w:rPr>
                <w:lang w:val="en-US"/>
              </w:rPr>
            </w:pPr>
            <w:r>
              <w:rPr>
                <w:lang w:val="en-US"/>
              </w:rPr>
              <w:t>39.2</w:t>
            </w:r>
          </w:p>
        </w:tc>
      </w:tr>
      <w:tr w:rsidR="00A556CE" w14:paraId="66E73256" w14:textId="77777777" w:rsidTr="00A556CE">
        <w:tc>
          <w:tcPr>
            <w:tcW w:w="704" w:type="dxa"/>
          </w:tcPr>
          <w:p w14:paraId="09B368D6" w14:textId="51E14EB2" w:rsidR="00A556CE" w:rsidRDefault="00A556CE" w:rsidP="00133EE6">
            <w:pPr>
              <w:pStyle w:val="NormalWeb"/>
              <w:jc w:val="both"/>
              <w:rPr>
                <w:lang w:val="en-US"/>
              </w:rPr>
            </w:pPr>
            <w:r>
              <w:rPr>
                <w:lang w:val="en-US"/>
              </w:rPr>
              <w:t>7</w:t>
            </w:r>
          </w:p>
        </w:tc>
        <w:tc>
          <w:tcPr>
            <w:tcW w:w="3968" w:type="dxa"/>
          </w:tcPr>
          <w:p w14:paraId="42C98906" w14:textId="4AB5225A" w:rsidR="00A556CE" w:rsidRDefault="005D0611" w:rsidP="00133EE6">
            <w:pPr>
              <w:pStyle w:val="NormalWeb"/>
              <w:jc w:val="both"/>
              <w:rPr>
                <w:lang w:val="en-US"/>
              </w:rPr>
            </w:pPr>
            <w:r>
              <w:rPr>
                <w:lang w:val="en-US"/>
              </w:rPr>
              <w:t>Linoleic acid (C18:2)</w:t>
            </w:r>
          </w:p>
        </w:tc>
        <w:tc>
          <w:tcPr>
            <w:tcW w:w="2336" w:type="dxa"/>
          </w:tcPr>
          <w:p w14:paraId="489A7642" w14:textId="522B1549" w:rsidR="00A556CE" w:rsidRDefault="005D0611" w:rsidP="00133EE6">
            <w:pPr>
              <w:pStyle w:val="NormalWeb"/>
              <w:jc w:val="both"/>
              <w:rPr>
                <w:lang w:val="en-US"/>
              </w:rPr>
            </w:pPr>
            <w:r>
              <w:rPr>
                <w:lang w:val="en-US"/>
              </w:rPr>
              <w:t>9.1-11.0</w:t>
            </w:r>
          </w:p>
        </w:tc>
        <w:tc>
          <w:tcPr>
            <w:tcW w:w="2337" w:type="dxa"/>
          </w:tcPr>
          <w:p w14:paraId="68B79BF7" w14:textId="7EE85206" w:rsidR="00A556CE" w:rsidRDefault="005D0611" w:rsidP="00133EE6">
            <w:pPr>
              <w:pStyle w:val="NormalWeb"/>
              <w:jc w:val="both"/>
              <w:rPr>
                <w:lang w:val="en-US"/>
              </w:rPr>
            </w:pPr>
            <w:r>
              <w:rPr>
                <w:lang w:val="en-US"/>
              </w:rPr>
              <w:t>10.1</w:t>
            </w:r>
          </w:p>
        </w:tc>
      </w:tr>
      <w:tr w:rsidR="00A556CE" w14:paraId="0A198FF8" w14:textId="77777777" w:rsidTr="00A556CE">
        <w:tc>
          <w:tcPr>
            <w:tcW w:w="704" w:type="dxa"/>
          </w:tcPr>
          <w:p w14:paraId="4E8304C1" w14:textId="4B94ECC3" w:rsidR="00A556CE" w:rsidRDefault="00A556CE" w:rsidP="00133EE6">
            <w:pPr>
              <w:pStyle w:val="NormalWeb"/>
              <w:jc w:val="both"/>
              <w:rPr>
                <w:lang w:val="en-US"/>
              </w:rPr>
            </w:pPr>
            <w:r>
              <w:rPr>
                <w:lang w:val="en-US"/>
              </w:rPr>
              <w:t>8</w:t>
            </w:r>
          </w:p>
        </w:tc>
        <w:tc>
          <w:tcPr>
            <w:tcW w:w="3968" w:type="dxa"/>
          </w:tcPr>
          <w:p w14:paraId="135A2F17" w14:textId="4DA2B07F" w:rsidR="00A556CE" w:rsidRDefault="005D0611" w:rsidP="00133EE6">
            <w:pPr>
              <w:pStyle w:val="NormalWeb"/>
              <w:jc w:val="both"/>
              <w:rPr>
                <w:lang w:val="en-US"/>
              </w:rPr>
            </w:pPr>
            <w:r>
              <w:rPr>
                <w:lang w:val="en-US"/>
              </w:rPr>
              <w:t>Linolenic acid (C18:3)</w:t>
            </w:r>
          </w:p>
        </w:tc>
        <w:tc>
          <w:tcPr>
            <w:tcW w:w="2336" w:type="dxa"/>
          </w:tcPr>
          <w:p w14:paraId="05CD4A12" w14:textId="727E038F" w:rsidR="00A556CE" w:rsidRDefault="005D0611" w:rsidP="00133EE6">
            <w:pPr>
              <w:pStyle w:val="NormalWeb"/>
              <w:jc w:val="both"/>
              <w:rPr>
                <w:lang w:val="en-US"/>
              </w:rPr>
            </w:pPr>
            <w:r>
              <w:rPr>
                <w:lang w:val="en-US"/>
              </w:rPr>
              <w:t>0.0-0.6</w:t>
            </w:r>
          </w:p>
        </w:tc>
        <w:tc>
          <w:tcPr>
            <w:tcW w:w="2337" w:type="dxa"/>
          </w:tcPr>
          <w:p w14:paraId="2F9F374F" w14:textId="059681DB" w:rsidR="00A556CE" w:rsidRDefault="005D0611" w:rsidP="00133EE6">
            <w:pPr>
              <w:pStyle w:val="NormalWeb"/>
              <w:jc w:val="both"/>
              <w:rPr>
                <w:lang w:val="en-US"/>
              </w:rPr>
            </w:pPr>
            <w:r>
              <w:rPr>
                <w:lang w:val="en-US"/>
              </w:rPr>
              <w:t>0.4</w:t>
            </w:r>
          </w:p>
        </w:tc>
      </w:tr>
      <w:tr w:rsidR="00A556CE" w14:paraId="1FE4EE32" w14:textId="77777777" w:rsidTr="00A556CE">
        <w:tc>
          <w:tcPr>
            <w:tcW w:w="704" w:type="dxa"/>
          </w:tcPr>
          <w:p w14:paraId="11B4CE66" w14:textId="2B4BD679" w:rsidR="00A556CE" w:rsidRDefault="00A556CE" w:rsidP="00133EE6">
            <w:pPr>
              <w:pStyle w:val="NormalWeb"/>
              <w:jc w:val="both"/>
              <w:rPr>
                <w:lang w:val="en-US"/>
              </w:rPr>
            </w:pPr>
            <w:r>
              <w:rPr>
                <w:lang w:val="en-US"/>
              </w:rPr>
              <w:t>9</w:t>
            </w:r>
          </w:p>
        </w:tc>
        <w:tc>
          <w:tcPr>
            <w:tcW w:w="3968" w:type="dxa"/>
          </w:tcPr>
          <w:p w14:paraId="605EE676" w14:textId="6C6CDDAE" w:rsidR="00A556CE" w:rsidRDefault="005D0611" w:rsidP="00133EE6">
            <w:pPr>
              <w:pStyle w:val="NormalWeb"/>
              <w:jc w:val="both"/>
              <w:rPr>
                <w:lang w:val="en-US"/>
              </w:rPr>
            </w:pPr>
            <w:r>
              <w:rPr>
                <w:lang w:val="en-US"/>
              </w:rPr>
              <w:t>Arakidonic acid (C20:0)</w:t>
            </w:r>
          </w:p>
        </w:tc>
        <w:tc>
          <w:tcPr>
            <w:tcW w:w="2336" w:type="dxa"/>
          </w:tcPr>
          <w:p w14:paraId="33BC1AAE" w14:textId="02233FC1" w:rsidR="00A556CE" w:rsidRDefault="005D0611" w:rsidP="00133EE6">
            <w:pPr>
              <w:pStyle w:val="NormalWeb"/>
              <w:jc w:val="both"/>
              <w:rPr>
                <w:lang w:val="en-US"/>
              </w:rPr>
            </w:pPr>
            <w:r>
              <w:rPr>
                <w:lang w:val="en-US"/>
              </w:rPr>
              <w:t>0.2-0.7</w:t>
            </w:r>
          </w:p>
        </w:tc>
        <w:tc>
          <w:tcPr>
            <w:tcW w:w="2337" w:type="dxa"/>
          </w:tcPr>
          <w:p w14:paraId="52584892" w14:textId="4212F569" w:rsidR="00A556CE" w:rsidRDefault="005D0611" w:rsidP="00133EE6">
            <w:pPr>
              <w:pStyle w:val="NormalWeb"/>
              <w:jc w:val="both"/>
              <w:rPr>
                <w:lang w:val="en-US"/>
              </w:rPr>
            </w:pPr>
            <w:r>
              <w:rPr>
                <w:lang w:val="en-US"/>
              </w:rPr>
              <w:t>0.4</w:t>
            </w:r>
          </w:p>
        </w:tc>
      </w:tr>
    </w:tbl>
    <w:p w14:paraId="28430161" w14:textId="2EB8214D" w:rsidR="00A556CE" w:rsidRPr="005D0611" w:rsidRDefault="005D0611" w:rsidP="00133EE6">
      <w:pPr>
        <w:pStyle w:val="NormalWeb"/>
        <w:jc w:val="both"/>
        <w:rPr>
          <w:b/>
          <w:bCs/>
          <w:i/>
          <w:iCs/>
          <w:sz w:val="20"/>
          <w:szCs w:val="20"/>
          <w:lang w:val="en-US"/>
        </w:rPr>
      </w:pPr>
      <w:r w:rsidRPr="005D0611">
        <w:rPr>
          <w:b/>
          <w:bCs/>
          <w:i/>
          <w:iCs/>
          <w:sz w:val="20"/>
          <w:szCs w:val="20"/>
          <w:lang w:val="en-US"/>
        </w:rPr>
        <w:t xml:space="preserve">Source: Hariyadi </w:t>
      </w:r>
    </w:p>
    <w:p w14:paraId="68E25798" w14:textId="7E8AC83E" w:rsidR="005D0611" w:rsidRPr="00673A0D" w:rsidRDefault="005D0611" w:rsidP="00133EE6">
      <w:pPr>
        <w:pStyle w:val="NormalWeb"/>
        <w:jc w:val="both"/>
        <w:rPr>
          <w:lang w:val="en-US"/>
        </w:rPr>
      </w:pPr>
      <w:r>
        <w:rPr>
          <w:lang w:val="en-US"/>
        </w:rPr>
        <w:t xml:space="preserve">According to the above table, palm oil has a stable composition of saturated fatty acid and unsaturated fatty acid. Palm oil is not categorized as vegetable oil with the behavioral characteristics of saturated fatty acid. Instead, as a whole, it has the behavior of monosaturated oils. </w:t>
      </w:r>
    </w:p>
    <w:p w14:paraId="5C0C4407" w14:textId="71E31425" w:rsidR="00133EE6" w:rsidRPr="00673A0D" w:rsidRDefault="00133EE6" w:rsidP="00133EE6">
      <w:pPr>
        <w:pStyle w:val="NormalWeb"/>
        <w:jc w:val="both"/>
        <w:rPr>
          <w:b/>
          <w:bCs/>
          <w:lang w:val="en-US"/>
        </w:rPr>
      </w:pPr>
      <w:r w:rsidRPr="00673A0D">
        <w:rPr>
          <w:b/>
          <w:bCs/>
          <w:lang w:val="en-US"/>
        </w:rPr>
        <w:t>Recent Cooperation Activities in the Palm-Oil Sector</w:t>
      </w:r>
    </w:p>
    <w:p w14:paraId="5D9AB282" w14:textId="77777777" w:rsidR="00133EE6" w:rsidRPr="00673A0D" w:rsidRDefault="00133EE6" w:rsidP="00133EE6">
      <w:pPr>
        <w:pStyle w:val="NormalWeb"/>
        <w:jc w:val="both"/>
        <w:rPr>
          <w:lang w:val="en-US"/>
        </w:rPr>
      </w:pPr>
      <w:r w:rsidRPr="00673A0D">
        <w:rPr>
          <w:lang w:val="en-US"/>
        </w:rPr>
        <w:t>The launch of the Malaysia Capacity-Building Programme for OIC Countries (CBP4OICC) in 2005 saw a robust reverse linkage project in Sierra-Leone, whereby Malaysian technical expertise was deployed, with financial support from Islamic Development Bank (ISDB) for a Palm-Oil Plantation in Sierra-Leone.</w:t>
      </w:r>
    </w:p>
    <w:p w14:paraId="12BF09A2" w14:textId="77777777" w:rsidR="00133EE6" w:rsidRPr="00673A0D" w:rsidRDefault="00133EE6" w:rsidP="00133EE6">
      <w:pPr>
        <w:pStyle w:val="NormalWeb"/>
        <w:jc w:val="both"/>
        <w:rPr>
          <w:lang w:val="en-US"/>
        </w:rPr>
      </w:pPr>
      <w:r w:rsidRPr="00673A0D">
        <w:rPr>
          <w:lang w:val="en-US"/>
        </w:rPr>
        <w:t xml:space="preserve">This practical example of a triangular South-South Cooperation can be replicated through the establishment of a Plan of Action on the Development of the Palm Oil industry in IOFS/OIC member states, owing to its several advantages for food security, wealth creation and socio-economic growth of the economies of member states. </w:t>
      </w:r>
    </w:p>
    <w:p w14:paraId="45E14E9D" w14:textId="77777777" w:rsidR="00133EE6" w:rsidRPr="00673A0D" w:rsidRDefault="00133EE6" w:rsidP="00133EE6">
      <w:pPr>
        <w:pStyle w:val="NormalWeb"/>
        <w:jc w:val="both"/>
        <w:rPr>
          <w:lang w:val="en-US"/>
        </w:rPr>
      </w:pPr>
      <w:r w:rsidRPr="00673A0D">
        <w:rPr>
          <w:lang w:val="en-US"/>
        </w:rPr>
        <w:t xml:space="preserve">Since commencement of its operations, the Director-General of Islamic Organisation for Food Security (IOFS), within his institution’s mandate to ensure food security and protect important and strategic food products, held numerous meetings with high officials of Indonesian GAPKI, Malaysian Palm Oil Producer’s Council, Malaysian Palm Oil Producers’ Board and representatives of their Ministries to discuss the issues of negative impact of increasing tariff and non-tariff barriers to importation of palm oil and its products to the EU countries, and minimize the effects of ongoing negative propaganda against the food quality of palm oil.  To this end, IOFS also participated in a local oil-fat consumers’ seminar and examined modalities for intra-regional action with the Malaysian Palm Oil Produces’ Council. </w:t>
      </w:r>
    </w:p>
    <w:p w14:paraId="636F2532" w14:textId="77777777" w:rsidR="00133EE6" w:rsidRPr="00673A0D" w:rsidRDefault="00133EE6" w:rsidP="00133EE6">
      <w:pPr>
        <w:pStyle w:val="NormalWeb"/>
        <w:jc w:val="both"/>
        <w:rPr>
          <w:lang w:val="en-US"/>
        </w:rPr>
      </w:pPr>
    </w:p>
    <w:p w14:paraId="6F91B0CD" w14:textId="55817B97" w:rsidR="00133EE6" w:rsidRPr="00673A0D" w:rsidRDefault="00133EE6" w:rsidP="00133EE6">
      <w:pPr>
        <w:pStyle w:val="NormalWeb"/>
        <w:jc w:val="both"/>
        <w:rPr>
          <w:b/>
          <w:bCs/>
          <w:lang w:val="en-US"/>
        </w:rPr>
      </w:pPr>
      <w:r w:rsidRPr="00673A0D">
        <w:rPr>
          <w:b/>
          <w:bCs/>
          <w:lang w:val="en-US"/>
        </w:rPr>
        <w:t>Potential for Technological Research and Development</w:t>
      </w:r>
    </w:p>
    <w:p w14:paraId="4338AB86" w14:textId="77777777" w:rsidR="00133EE6" w:rsidRPr="00673A0D" w:rsidRDefault="00133EE6" w:rsidP="00133EE6">
      <w:pPr>
        <w:pStyle w:val="NormalWeb"/>
        <w:jc w:val="both"/>
        <w:rPr>
          <w:lang w:val="en-US"/>
        </w:rPr>
      </w:pPr>
      <w:r w:rsidRPr="00673A0D">
        <w:rPr>
          <w:lang w:val="en-US"/>
        </w:rPr>
        <w:t>With the mobilization of SESRIC as a major research institution of OIC as well as identified centers of excellence in the field of palm-oil research, it is possible to create a mutually rewarding partnership among IOFS/OIC member states. The purpose of this Concept Note is therefore to invite attention to the need for a joint action in the following areas:</w:t>
      </w:r>
    </w:p>
    <w:p w14:paraId="701901AD" w14:textId="77777777" w:rsidR="00133EE6" w:rsidRPr="00673A0D" w:rsidRDefault="00133EE6" w:rsidP="00133EE6">
      <w:pPr>
        <w:pStyle w:val="NormalWeb"/>
        <w:numPr>
          <w:ilvl w:val="0"/>
          <w:numId w:val="3"/>
        </w:numPr>
        <w:jc w:val="both"/>
        <w:rPr>
          <w:lang w:val="en-US"/>
        </w:rPr>
      </w:pPr>
      <w:r w:rsidRPr="00673A0D">
        <w:rPr>
          <w:lang w:val="en-US"/>
        </w:rPr>
        <w:t>Strengthen capabilities of research institutions of member states in the domain of palm-oil production and development, as well as countering negative narratives on the food-value potentials of this product;</w:t>
      </w:r>
    </w:p>
    <w:p w14:paraId="0A624D6D" w14:textId="77777777" w:rsidR="00133EE6" w:rsidRPr="00673A0D" w:rsidRDefault="00133EE6" w:rsidP="00133EE6">
      <w:pPr>
        <w:pStyle w:val="NormalWeb"/>
        <w:numPr>
          <w:ilvl w:val="0"/>
          <w:numId w:val="3"/>
        </w:numPr>
        <w:jc w:val="both"/>
        <w:rPr>
          <w:lang w:val="en-US"/>
        </w:rPr>
      </w:pPr>
      <w:r w:rsidRPr="00673A0D">
        <w:rPr>
          <w:lang w:val="en-US"/>
        </w:rPr>
        <w:t>Improve reverse linkage among member states for the purpose of developing capacities of resource-poor but land-rich member states;</w:t>
      </w:r>
    </w:p>
    <w:p w14:paraId="78410092" w14:textId="77777777" w:rsidR="00133EE6" w:rsidRPr="00673A0D" w:rsidRDefault="00133EE6" w:rsidP="00133EE6">
      <w:pPr>
        <w:pStyle w:val="NormalWeb"/>
        <w:numPr>
          <w:ilvl w:val="0"/>
          <w:numId w:val="3"/>
        </w:numPr>
        <w:jc w:val="both"/>
        <w:rPr>
          <w:lang w:val="en-US"/>
        </w:rPr>
      </w:pPr>
      <w:r w:rsidRPr="00673A0D">
        <w:rPr>
          <w:lang w:val="en-US"/>
        </w:rPr>
        <w:t>Create an effective platform for meeting of Centers of Excellence for the production and development of Palm-Oil industry;</w:t>
      </w:r>
    </w:p>
    <w:p w14:paraId="70BFE728" w14:textId="77777777" w:rsidR="00133EE6" w:rsidRPr="00673A0D" w:rsidRDefault="00133EE6" w:rsidP="00133EE6">
      <w:pPr>
        <w:pStyle w:val="NormalWeb"/>
        <w:ind w:left="360"/>
        <w:jc w:val="both"/>
        <w:rPr>
          <w:lang w:val="en-US"/>
        </w:rPr>
      </w:pPr>
    </w:p>
    <w:p w14:paraId="6A6B55FB" w14:textId="77777777" w:rsidR="00133EE6" w:rsidRPr="00673A0D" w:rsidRDefault="00133EE6" w:rsidP="00133EE6">
      <w:pPr>
        <w:contextualSpacing/>
        <w:rPr>
          <w:rFonts w:ascii="Times New Roman" w:hAnsi="Times New Roman" w:cs="Times New Roman"/>
          <w:b/>
          <w:bCs/>
          <w:sz w:val="24"/>
          <w:szCs w:val="24"/>
          <w:lang w:val="en-US"/>
        </w:rPr>
      </w:pPr>
      <w:r w:rsidRPr="00673A0D">
        <w:rPr>
          <w:rFonts w:ascii="Times New Roman" w:hAnsi="Times New Roman" w:cs="Times New Roman"/>
          <w:b/>
          <w:bCs/>
          <w:sz w:val="24"/>
          <w:szCs w:val="24"/>
          <w:lang w:val="en-US"/>
        </w:rPr>
        <w:t>The Secretariat</w:t>
      </w:r>
    </w:p>
    <w:p w14:paraId="32CE62D0" w14:textId="77777777" w:rsidR="00133EE6" w:rsidRPr="00673A0D" w:rsidRDefault="00133EE6" w:rsidP="00133EE6">
      <w:pPr>
        <w:contextualSpacing/>
        <w:rPr>
          <w:rFonts w:ascii="Times New Roman" w:hAnsi="Times New Roman" w:cs="Times New Roman"/>
          <w:b/>
          <w:bCs/>
          <w:sz w:val="24"/>
          <w:szCs w:val="24"/>
          <w:lang w:val="en-US"/>
        </w:rPr>
      </w:pPr>
      <w:r w:rsidRPr="00673A0D">
        <w:rPr>
          <w:rFonts w:ascii="Times New Roman" w:hAnsi="Times New Roman" w:cs="Times New Roman"/>
          <w:b/>
          <w:bCs/>
          <w:sz w:val="24"/>
          <w:szCs w:val="24"/>
          <w:lang w:val="en-US"/>
        </w:rPr>
        <w:t>Islamic Organisation for Food Security</w:t>
      </w:r>
    </w:p>
    <w:p w14:paraId="32B19D3B" w14:textId="77777777" w:rsidR="00133EE6" w:rsidRPr="00673A0D" w:rsidRDefault="00133EE6" w:rsidP="00133EE6">
      <w:pPr>
        <w:contextualSpacing/>
        <w:rPr>
          <w:rFonts w:ascii="Times New Roman" w:hAnsi="Times New Roman" w:cs="Times New Roman"/>
          <w:b/>
          <w:bCs/>
          <w:sz w:val="24"/>
          <w:szCs w:val="24"/>
          <w:lang w:val="en-US"/>
        </w:rPr>
      </w:pPr>
      <w:r w:rsidRPr="00673A0D">
        <w:rPr>
          <w:rFonts w:ascii="Times New Roman" w:hAnsi="Times New Roman" w:cs="Times New Roman"/>
          <w:b/>
          <w:bCs/>
          <w:sz w:val="24"/>
          <w:szCs w:val="24"/>
          <w:lang w:val="en-US"/>
        </w:rPr>
        <w:t>Nur Sultan, Republic of Kazakhstan</w:t>
      </w:r>
    </w:p>
    <w:p w14:paraId="66A9A7F3" w14:textId="77777777" w:rsidR="00133EE6" w:rsidRPr="00673A0D" w:rsidRDefault="00133EE6" w:rsidP="007D13EB">
      <w:pPr>
        <w:rPr>
          <w:rFonts w:ascii="Times New Roman" w:hAnsi="Times New Roman" w:cs="Times New Roman"/>
          <w:sz w:val="24"/>
          <w:szCs w:val="24"/>
          <w:lang w:val="en-US"/>
        </w:rPr>
      </w:pPr>
    </w:p>
    <w:p w14:paraId="35CC5B3A" w14:textId="77777777" w:rsidR="007D13EB" w:rsidRPr="00673A0D" w:rsidRDefault="007D13EB" w:rsidP="00024CAE">
      <w:pPr>
        <w:spacing w:after="0" w:line="240" w:lineRule="auto"/>
        <w:ind w:firstLine="709"/>
        <w:jc w:val="both"/>
        <w:rPr>
          <w:rFonts w:ascii="Times New Roman" w:hAnsi="Times New Roman" w:cs="Times New Roman"/>
          <w:sz w:val="24"/>
          <w:szCs w:val="24"/>
          <w:lang w:val="en-US"/>
        </w:rPr>
      </w:pPr>
    </w:p>
    <w:sectPr w:rsidR="007D13EB" w:rsidRPr="00673A0D" w:rsidSect="007C6020">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AB5"/>
    <w:multiLevelType w:val="hybridMultilevel"/>
    <w:tmpl w:val="7C4AAB3A"/>
    <w:lvl w:ilvl="0" w:tplc="23EC8E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04665"/>
    <w:rsid w:val="00024CAE"/>
    <w:rsid w:val="000D263C"/>
    <w:rsid w:val="00102439"/>
    <w:rsid w:val="00133EE6"/>
    <w:rsid w:val="001C0F59"/>
    <w:rsid w:val="002D2AF2"/>
    <w:rsid w:val="003A59F0"/>
    <w:rsid w:val="00457323"/>
    <w:rsid w:val="004707AD"/>
    <w:rsid w:val="004A7CB2"/>
    <w:rsid w:val="004E535D"/>
    <w:rsid w:val="005303E6"/>
    <w:rsid w:val="005D0611"/>
    <w:rsid w:val="005F6872"/>
    <w:rsid w:val="0060788F"/>
    <w:rsid w:val="00631AC1"/>
    <w:rsid w:val="00673A0D"/>
    <w:rsid w:val="006E7817"/>
    <w:rsid w:val="0074690D"/>
    <w:rsid w:val="007C6020"/>
    <w:rsid w:val="007D13EB"/>
    <w:rsid w:val="008542B2"/>
    <w:rsid w:val="00856734"/>
    <w:rsid w:val="008C1B70"/>
    <w:rsid w:val="00960358"/>
    <w:rsid w:val="009714E4"/>
    <w:rsid w:val="00A556CE"/>
    <w:rsid w:val="00B21F52"/>
    <w:rsid w:val="00B27201"/>
    <w:rsid w:val="00B6314C"/>
    <w:rsid w:val="00C10276"/>
    <w:rsid w:val="00C17A17"/>
    <w:rsid w:val="00C623E0"/>
    <w:rsid w:val="00C66199"/>
    <w:rsid w:val="00C666E8"/>
    <w:rsid w:val="00C83B25"/>
    <w:rsid w:val="00D01C1C"/>
    <w:rsid w:val="00E9052F"/>
    <w:rsid w:val="00F4354B"/>
    <w:rsid w:val="00F70A2B"/>
    <w:rsid w:val="00F774AD"/>
    <w:rsid w:val="00F876F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B21F52"/>
    <w:pPr>
      <w:ind w:left="720"/>
      <w:contextualSpacing/>
    </w:pPr>
  </w:style>
  <w:style w:type="table" w:styleId="TableGrid">
    <w:name w:val="Table Grid"/>
    <w:basedOn w:val="TableNormal"/>
    <w:uiPriority w:val="39"/>
    <w:rsid w:val="0096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515274064">
      <w:bodyDiv w:val="1"/>
      <w:marLeft w:val="0"/>
      <w:marRight w:val="0"/>
      <w:marTop w:val="0"/>
      <w:marBottom w:val="0"/>
      <w:divBdr>
        <w:top w:val="none" w:sz="0" w:space="0" w:color="auto"/>
        <w:left w:val="none" w:sz="0" w:space="0" w:color="auto"/>
        <w:bottom w:val="none" w:sz="0" w:space="0" w:color="auto"/>
        <w:right w:val="none" w:sz="0" w:space="0" w:color="auto"/>
      </w:divBdr>
    </w:div>
    <w:div w:id="82320314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 w:id="1038775523">
      <w:bodyDiv w:val="1"/>
      <w:marLeft w:val="0"/>
      <w:marRight w:val="0"/>
      <w:marTop w:val="0"/>
      <w:marBottom w:val="0"/>
      <w:divBdr>
        <w:top w:val="none" w:sz="0" w:space="0" w:color="auto"/>
        <w:left w:val="none" w:sz="0" w:space="0" w:color="auto"/>
        <w:bottom w:val="none" w:sz="0" w:space="0" w:color="auto"/>
        <w:right w:val="none" w:sz="0" w:space="0" w:color="auto"/>
      </w:divBdr>
    </w:div>
    <w:div w:id="18752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4D60-45CC-B593-163DB2564336}"/>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4D60-45CC-B593-163DB2564336}"/>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4D60-45CC-B593-163DB2564336}"/>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4D60-45CC-B593-163DB256433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Лист1!$A$3:$A$6</c:f>
              <c:strCache>
                <c:ptCount val="4"/>
                <c:pt idx="0">
                  <c:v>Palm oil</c:v>
                </c:pt>
                <c:pt idx="1">
                  <c:v>Rapeseed oil</c:v>
                </c:pt>
                <c:pt idx="2">
                  <c:v>Soybean oil</c:v>
                </c:pt>
                <c:pt idx="3">
                  <c:v>Sunflower oil</c:v>
                </c:pt>
              </c:strCache>
            </c:strRef>
          </c:cat>
          <c:val>
            <c:numRef>
              <c:f>Лист1!$B$3:$B$6</c:f>
              <c:numCache>
                <c:formatCode>0%</c:formatCode>
                <c:ptCount val="4"/>
                <c:pt idx="0">
                  <c:v>0.22</c:v>
                </c:pt>
                <c:pt idx="1">
                  <c:v>0.19</c:v>
                </c:pt>
                <c:pt idx="2">
                  <c:v>0.59</c:v>
                </c:pt>
                <c:pt idx="3">
                  <c:v>0</c:v>
                </c:pt>
              </c:numCache>
            </c:numRef>
          </c:val>
          <c:extLst>
            <c:ext xmlns:c16="http://schemas.microsoft.com/office/drawing/2014/chart" uri="{C3380CC4-5D6E-409C-BE32-E72D297353CC}">
              <c16:uniqueId val="{00000008-4D60-45CC-B593-163DB2564336}"/>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689A-4B48-9061-313C0768C456}"/>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689A-4B48-9061-313C0768C456}"/>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689A-4B48-9061-313C0768C456}"/>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689A-4B48-9061-313C0768C45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Лист1!$A$13:$A$16</c:f>
              <c:strCache>
                <c:ptCount val="4"/>
                <c:pt idx="0">
                  <c:v>Palm oil</c:v>
                </c:pt>
                <c:pt idx="1">
                  <c:v>Rapeseed oil</c:v>
                </c:pt>
                <c:pt idx="2">
                  <c:v>Soybean oil</c:v>
                </c:pt>
                <c:pt idx="3">
                  <c:v>Sunflower oil</c:v>
                </c:pt>
              </c:strCache>
            </c:strRef>
          </c:cat>
          <c:val>
            <c:numRef>
              <c:f>Лист1!$B$13:$B$16</c:f>
              <c:numCache>
                <c:formatCode>0%</c:formatCode>
                <c:ptCount val="4"/>
                <c:pt idx="0">
                  <c:v>0.26</c:v>
                </c:pt>
                <c:pt idx="1">
                  <c:v>0.13</c:v>
                </c:pt>
                <c:pt idx="2">
                  <c:v>0.53</c:v>
                </c:pt>
                <c:pt idx="3">
                  <c:v>0.08</c:v>
                </c:pt>
              </c:numCache>
            </c:numRef>
          </c:val>
          <c:extLst>
            <c:ext xmlns:c16="http://schemas.microsoft.com/office/drawing/2014/chart" uri="{C3380CC4-5D6E-409C-BE32-E72D297353CC}">
              <c16:uniqueId val="{00000008-689A-4B48-9061-313C0768C456}"/>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2009456264775412E-2"/>
          <c:y val="8.0365273687765096E-2"/>
          <c:w val="0.6264686063178273"/>
          <c:h val="0.91963472631223486"/>
        </c:manualLayout>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142A-49F7-A7DD-BB68A8979DA9}"/>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142A-49F7-A7DD-BB68A8979DA9}"/>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142A-49F7-A7DD-BB68A8979DA9}"/>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142A-49F7-A7DD-BB68A8979DA9}"/>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Лист1!$A$28:$A$31</c:f>
              <c:strCache>
                <c:ptCount val="4"/>
                <c:pt idx="0">
                  <c:v>Palm oil</c:v>
                </c:pt>
                <c:pt idx="1">
                  <c:v>Rapeseed oil</c:v>
                </c:pt>
                <c:pt idx="2">
                  <c:v>Soybean oil</c:v>
                </c:pt>
                <c:pt idx="3">
                  <c:v>Sunflower oil</c:v>
                </c:pt>
              </c:strCache>
            </c:strRef>
          </c:cat>
          <c:val>
            <c:numRef>
              <c:f>Лист1!$B$28:$B$31</c:f>
              <c:numCache>
                <c:formatCode>0%</c:formatCode>
                <c:ptCount val="4"/>
                <c:pt idx="0">
                  <c:v>0.4</c:v>
                </c:pt>
                <c:pt idx="1">
                  <c:v>0.16</c:v>
                </c:pt>
                <c:pt idx="2">
                  <c:v>0.33</c:v>
                </c:pt>
                <c:pt idx="3">
                  <c:v>0.1</c:v>
                </c:pt>
              </c:numCache>
            </c:numRef>
          </c:val>
          <c:extLst>
            <c:ext xmlns:c16="http://schemas.microsoft.com/office/drawing/2014/chart" uri="{C3380CC4-5D6E-409C-BE32-E72D297353CC}">
              <c16:uniqueId val="{00000008-142A-49F7-A7DD-BB68A8979DA9}"/>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7374993019489582"/>
          <c:y val="8.4646666002192755E-2"/>
          <c:w val="0.29788127547886306"/>
          <c:h val="0.7203780856506860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1E645-8F34-43F8-AB41-D6D879160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Dr. Ismail Abdelhamid</cp:lastModifiedBy>
  <cp:revision>2</cp:revision>
  <cp:lastPrinted>2019-09-17T11:34:00Z</cp:lastPrinted>
  <dcterms:created xsi:type="dcterms:W3CDTF">2020-03-16T10:11:00Z</dcterms:created>
  <dcterms:modified xsi:type="dcterms:W3CDTF">2020-03-16T10:11:00Z</dcterms:modified>
</cp:coreProperties>
</file>