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A13C81" w14:textId="0024E264" w:rsidR="005541AC" w:rsidRDefault="005541AC" w:rsidP="00983142">
      <w:pPr>
        <w:spacing w:after="0"/>
        <w:jc w:val="center"/>
        <w:rPr>
          <w:rFonts w:asciiTheme="majorBidi" w:hAnsiTheme="majorBidi" w:cstheme="majorBidi"/>
          <w:b/>
          <w:bCs/>
          <w:sz w:val="24"/>
          <w:szCs w:val="24"/>
          <w:lang w:val="en-GB"/>
        </w:rPr>
      </w:pPr>
      <w:r>
        <w:rPr>
          <w:noProof/>
        </w:rPr>
        <w:drawing>
          <wp:anchor distT="0" distB="0" distL="114300" distR="114300" simplePos="0" relativeHeight="251659264" behindDoc="1" locked="0" layoutInCell="1" allowOverlap="1" wp14:anchorId="3EB06CA1" wp14:editId="296EB784">
            <wp:simplePos x="0" y="0"/>
            <wp:positionH relativeFrom="page">
              <wp:posOffset>473710</wp:posOffset>
            </wp:positionH>
            <wp:positionV relativeFrom="paragraph">
              <wp:posOffset>-553085</wp:posOffset>
            </wp:positionV>
            <wp:extent cx="6981825" cy="1743075"/>
            <wp:effectExtent l="0" t="0" r="9525" b="9525"/>
            <wp:wrapTight wrapText="bothSides">
              <wp:wrapPolygon edited="0">
                <wp:start x="0" y="0"/>
                <wp:lineTo x="0" y="21482"/>
                <wp:lineTo x="21571" y="21482"/>
                <wp:lineTo x="21571"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jpg"/>
                    <pic:cNvPicPr/>
                  </pic:nvPicPr>
                  <pic:blipFill>
                    <a:blip r:embed="rId8">
                      <a:extLst>
                        <a:ext uri="{28A0092B-C50C-407E-A947-70E740481C1C}">
                          <a14:useLocalDpi xmlns:a14="http://schemas.microsoft.com/office/drawing/2010/main" val="0"/>
                        </a:ext>
                      </a:extLst>
                    </a:blip>
                    <a:stretch>
                      <a:fillRect/>
                    </a:stretch>
                  </pic:blipFill>
                  <pic:spPr>
                    <a:xfrm>
                      <a:off x="0" y="0"/>
                      <a:ext cx="6981825" cy="1743075"/>
                    </a:xfrm>
                    <a:prstGeom prst="rect">
                      <a:avLst/>
                    </a:prstGeom>
                  </pic:spPr>
                </pic:pic>
              </a:graphicData>
            </a:graphic>
            <wp14:sizeRelH relativeFrom="margin">
              <wp14:pctWidth>0</wp14:pctWidth>
            </wp14:sizeRelH>
            <wp14:sizeRelV relativeFrom="margin">
              <wp14:pctHeight>0</wp14:pctHeight>
            </wp14:sizeRelV>
          </wp:anchor>
        </w:drawing>
      </w:r>
    </w:p>
    <w:p w14:paraId="2209AEA7" w14:textId="0BA83E82" w:rsidR="005541AC" w:rsidRPr="00D5735A" w:rsidRDefault="005541AC" w:rsidP="005541AC">
      <w:pPr>
        <w:spacing w:after="0"/>
        <w:jc w:val="right"/>
        <w:rPr>
          <w:rFonts w:asciiTheme="majorBidi" w:hAnsiTheme="majorBidi" w:cstheme="majorBidi"/>
          <w:b/>
          <w:bCs/>
          <w:sz w:val="24"/>
          <w:szCs w:val="24"/>
          <w:lang w:val="fr-FR"/>
        </w:rPr>
      </w:pPr>
      <w:r w:rsidRPr="00D5735A">
        <w:rPr>
          <w:rFonts w:asciiTheme="majorBidi" w:hAnsiTheme="majorBidi" w:cstheme="majorBidi"/>
          <w:b/>
          <w:bCs/>
          <w:sz w:val="24"/>
          <w:szCs w:val="24"/>
          <w:lang w:val="fr-FR"/>
        </w:rPr>
        <w:t>ATTACHMENT #1</w:t>
      </w:r>
    </w:p>
    <w:p w14:paraId="4C016169" w14:textId="77777777" w:rsidR="005541AC" w:rsidRPr="00D5735A" w:rsidRDefault="005541AC" w:rsidP="00983142">
      <w:pPr>
        <w:spacing w:after="0"/>
        <w:jc w:val="center"/>
        <w:rPr>
          <w:rFonts w:asciiTheme="majorBidi" w:hAnsiTheme="majorBidi" w:cstheme="majorBidi"/>
          <w:b/>
          <w:bCs/>
          <w:sz w:val="24"/>
          <w:szCs w:val="24"/>
          <w:lang w:val="fr-FR"/>
        </w:rPr>
      </w:pPr>
    </w:p>
    <w:p w14:paraId="17E240A0" w14:textId="77777777" w:rsidR="00D5735A" w:rsidRPr="00D5735A" w:rsidRDefault="00D5735A" w:rsidP="00D5735A">
      <w:pPr>
        <w:spacing w:after="0"/>
        <w:jc w:val="center"/>
        <w:rPr>
          <w:rFonts w:asciiTheme="majorBidi" w:hAnsiTheme="majorBidi" w:cstheme="majorBidi"/>
          <w:b/>
          <w:bCs/>
          <w:sz w:val="24"/>
          <w:szCs w:val="24"/>
          <w:lang w:val="fr-FR"/>
        </w:rPr>
      </w:pPr>
      <w:r w:rsidRPr="00D5735A">
        <w:rPr>
          <w:rFonts w:asciiTheme="majorBidi" w:hAnsiTheme="majorBidi" w:cstheme="majorBidi"/>
          <w:b/>
          <w:bCs/>
          <w:sz w:val="24"/>
          <w:szCs w:val="24"/>
          <w:lang w:val="fr-FR"/>
        </w:rPr>
        <w:t>RAPPORT</w:t>
      </w:r>
    </w:p>
    <w:p w14:paraId="305C2E20" w14:textId="5DD5EDF9" w:rsidR="00634062" w:rsidRPr="00D5735A" w:rsidRDefault="00D5735A" w:rsidP="00D5735A">
      <w:pPr>
        <w:spacing w:after="0"/>
        <w:jc w:val="center"/>
        <w:rPr>
          <w:rFonts w:asciiTheme="majorBidi" w:hAnsiTheme="majorBidi" w:cstheme="majorBidi"/>
          <w:b/>
          <w:bCs/>
          <w:sz w:val="24"/>
          <w:szCs w:val="24"/>
          <w:lang w:val="fr-FR"/>
        </w:rPr>
      </w:pPr>
      <w:r w:rsidRPr="00D5735A">
        <w:rPr>
          <w:rFonts w:asciiTheme="majorBidi" w:hAnsiTheme="majorBidi" w:cstheme="majorBidi"/>
          <w:b/>
          <w:bCs/>
          <w:sz w:val="24"/>
          <w:szCs w:val="24"/>
          <w:lang w:val="fr-FR"/>
        </w:rPr>
        <w:t>sur les dépenses en espèces et bancaires sur l'exécution du budget administratif de l'OISA pour 2019</w:t>
      </w:r>
    </w:p>
    <w:p w14:paraId="5B624223" w14:textId="77777777" w:rsidR="00D072FA" w:rsidRPr="00D5735A" w:rsidRDefault="00D072FA" w:rsidP="008366B9">
      <w:pPr>
        <w:rPr>
          <w:rFonts w:asciiTheme="majorBidi" w:hAnsiTheme="majorBidi" w:cstheme="majorBidi"/>
          <w:b/>
          <w:bCs/>
          <w:sz w:val="24"/>
          <w:szCs w:val="24"/>
          <w:lang w:val="fr-FR"/>
        </w:rPr>
      </w:pPr>
    </w:p>
    <w:p w14:paraId="22715B2E" w14:textId="121A8160" w:rsidR="00D90C6D" w:rsidRPr="00D90C6D" w:rsidRDefault="00D90C6D" w:rsidP="00D90C6D">
      <w:pPr>
        <w:tabs>
          <w:tab w:val="left" w:pos="993"/>
        </w:tabs>
        <w:spacing w:after="0"/>
        <w:jc w:val="both"/>
        <w:rPr>
          <w:rFonts w:asciiTheme="majorBidi" w:hAnsiTheme="majorBidi" w:cstheme="majorBidi"/>
          <w:sz w:val="24"/>
          <w:szCs w:val="24"/>
          <w:lang w:val="fr-FR"/>
        </w:rPr>
      </w:pPr>
      <w:r w:rsidRPr="00D90C6D">
        <w:rPr>
          <w:rFonts w:asciiTheme="majorBidi" w:hAnsiTheme="majorBidi" w:cstheme="majorBidi"/>
          <w:sz w:val="24"/>
          <w:szCs w:val="24"/>
          <w:lang w:val="fr-FR"/>
        </w:rPr>
        <w:t>Conformément à la loi de la République du Kazakhstan du 20 novembre 2017 N° 110-VI Loi de la République du Kazakhstan «</w:t>
      </w:r>
      <w:r>
        <w:rPr>
          <w:rFonts w:asciiTheme="majorBidi" w:hAnsiTheme="majorBidi" w:cstheme="majorBidi"/>
          <w:sz w:val="24"/>
          <w:szCs w:val="24"/>
          <w:lang w:val="fr-FR"/>
        </w:rPr>
        <w:t xml:space="preserve"> </w:t>
      </w:r>
      <w:r w:rsidRPr="00D90C6D">
        <w:rPr>
          <w:rFonts w:asciiTheme="majorBidi" w:hAnsiTheme="majorBidi" w:cstheme="majorBidi"/>
          <w:sz w:val="24"/>
          <w:szCs w:val="24"/>
          <w:lang w:val="fr-FR"/>
        </w:rPr>
        <w:t>Sur la ratification de l'Accord de siège entre le Gouvernement de la République du Kazakhstan et l'Organisation Islamique pour la Sécurité Alimentaire</w:t>
      </w:r>
      <w:r>
        <w:rPr>
          <w:rFonts w:asciiTheme="majorBidi" w:hAnsiTheme="majorBidi" w:cstheme="majorBidi"/>
          <w:sz w:val="24"/>
          <w:szCs w:val="24"/>
          <w:lang w:val="fr-FR"/>
        </w:rPr>
        <w:t xml:space="preserve"> </w:t>
      </w:r>
      <w:r w:rsidRPr="00D90C6D">
        <w:rPr>
          <w:rFonts w:asciiTheme="majorBidi" w:hAnsiTheme="majorBidi" w:cstheme="majorBidi"/>
          <w:sz w:val="24"/>
          <w:szCs w:val="24"/>
          <w:lang w:val="fr-FR"/>
        </w:rPr>
        <w:t>» et ayant basé sur les buts et objectifs de l'Organisation, l'Organisation Islamique pour la Sécurité Alimentaire (</w:t>
      </w:r>
      <w:r w:rsidRPr="00D90C6D">
        <w:rPr>
          <w:rFonts w:asciiTheme="majorBidi" w:hAnsiTheme="majorBidi" w:cstheme="majorBidi"/>
          <w:b/>
          <w:bCs/>
          <w:sz w:val="24"/>
          <w:szCs w:val="24"/>
          <w:lang w:val="fr-FR"/>
        </w:rPr>
        <w:t>ci-après - OISA</w:t>
      </w:r>
      <w:r w:rsidRPr="00D90C6D">
        <w:rPr>
          <w:rFonts w:asciiTheme="majorBidi" w:hAnsiTheme="majorBidi" w:cstheme="majorBidi"/>
          <w:sz w:val="24"/>
          <w:szCs w:val="24"/>
          <w:lang w:val="fr-FR"/>
        </w:rPr>
        <w:t>)</w:t>
      </w:r>
      <w:r>
        <w:rPr>
          <w:rFonts w:asciiTheme="majorBidi" w:hAnsiTheme="majorBidi" w:cstheme="majorBidi"/>
          <w:sz w:val="24"/>
          <w:szCs w:val="24"/>
          <w:lang w:val="fr-FR"/>
        </w:rPr>
        <w:t xml:space="preserve"> </w:t>
      </w:r>
      <w:r w:rsidRPr="00D90C6D">
        <w:rPr>
          <w:rFonts w:asciiTheme="majorBidi" w:hAnsiTheme="majorBidi" w:cstheme="majorBidi"/>
          <w:sz w:val="24"/>
          <w:szCs w:val="24"/>
          <w:lang w:val="fr-FR"/>
        </w:rPr>
        <w:t>:</w:t>
      </w:r>
    </w:p>
    <w:p w14:paraId="71C3B2CC" w14:textId="1BF59AB0" w:rsidR="00D90C6D" w:rsidRPr="00D90C6D" w:rsidRDefault="00D90C6D" w:rsidP="001A41BA">
      <w:pPr>
        <w:pStyle w:val="a3"/>
        <w:numPr>
          <w:ilvl w:val="0"/>
          <w:numId w:val="1"/>
        </w:numPr>
        <w:tabs>
          <w:tab w:val="left" w:pos="709"/>
          <w:tab w:val="left" w:pos="993"/>
        </w:tabs>
        <w:spacing w:after="0"/>
        <w:ind w:left="0" w:firstLine="709"/>
        <w:jc w:val="both"/>
        <w:rPr>
          <w:rFonts w:asciiTheme="majorBidi" w:hAnsiTheme="majorBidi" w:cstheme="majorBidi"/>
          <w:sz w:val="24"/>
          <w:szCs w:val="24"/>
          <w:lang w:val="fr-FR"/>
        </w:rPr>
      </w:pPr>
      <w:r w:rsidRPr="00D90C6D">
        <w:rPr>
          <w:rFonts w:asciiTheme="majorBidi" w:hAnsiTheme="majorBidi" w:cstheme="majorBidi"/>
          <w:sz w:val="24"/>
          <w:szCs w:val="24"/>
          <w:lang w:val="fr-FR"/>
        </w:rPr>
        <w:t>peut posséder n'importe quel type de devise et avoir des comptes dans n'importe quelle devise;</w:t>
      </w:r>
    </w:p>
    <w:p w14:paraId="12E11864" w14:textId="29DE6407" w:rsidR="003A4FE6" w:rsidRPr="00D90C6D" w:rsidRDefault="00D90C6D" w:rsidP="004E7DCD">
      <w:pPr>
        <w:pStyle w:val="a3"/>
        <w:numPr>
          <w:ilvl w:val="0"/>
          <w:numId w:val="1"/>
        </w:numPr>
        <w:tabs>
          <w:tab w:val="left" w:pos="709"/>
          <w:tab w:val="left" w:pos="993"/>
        </w:tabs>
        <w:spacing w:after="0"/>
        <w:ind w:left="0" w:firstLine="709"/>
        <w:jc w:val="both"/>
        <w:rPr>
          <w:rFonts w:asciiTheme="majorBidi" w:hAnsiTheme="majorBidi" w:cstheme="majorBidi"/>
          <w:sz w:val="24"/>
          <w:szCs w:val="24"/>
          <w:lang w:val="fr-FR"/>
        </w:rPr>
      </w:pPr>
      <w:r w:rsidRPr="00D90C6D">
        <w:rPr>
          <w:rFonts w:asciiTheme="majorBidi" w:hAnsiTheme="majorBidi" w:cstheme="majorBidi"/>
          <w:sz w:val="24"/>
          <w:szCs w:val="24"/>
          <w:lang w:val="fr-FR"/>
        </w:rPr>
        <w:t>peut librement transférer ses fonds vers la République du Kazakhstan et / ou depuis la République du Kazakhstan et les convertir dans n'importe quelle monnaie au taux de change officiel actuel</w:t>
      </w:r>
      <w:r w:rsidR="003A4FE6" w:rsidRPr="00D90C6D">
        <w:rPr>
          <w:rFonts w:asciiTheme="majorBidi" w:hAnsiTheme="majorBidi" w:cstheme="majorBidi"/>
          <w:sz w:val="24"/>
          <w:szCs w:val="24"/>
          <w:lang w:val="fr-FR"/>
        </w:rPr>
        <w:t>.</w:t>
      </w:r>
    </w:p>
    <w:p w14:paraId="60718121" w14:textId="3891307B" w:rsidR="00BD24FD" w:rsidRPr="004E7DCD" w:rsidRDefault="004E7DCD" w:rsidP="007E5EA1">
      <w:pPr>
        <w:pStyle w:val="a3"/>
        <w:tabs>
          <w:tab w:val="left" w:pos="993"/>
        </w:tabs>
        <w:spacing w:after="0"/>
        <w:ind w:left="0" w:firstLine="709"/>
        <w:jc w:val="both"/>
        <w:rPr>
          <w:rFonts w:asciiTheme="majorBidi" w:hAnsiTheme="majorBidi" w:cstheme="majorBidi"/>
          <w:sz w:val="24"/>
          <w:szCs w:val="24"/>
          <w:lang w:val="fr-FR"/>
        </w:rPr>
      </w:pPr>
      <w:r w:rsidRPr="004E7DCD">
        <w:rPr>
          <w:rFonts w:asciiTheme="majorBidi" w:hAnsiTheme="majorBidi" w:cstheme="majorBidi"/>
          <w:sz w:val="24"/>
          <w:szCs w:val="24"/>
          <w:lang w:val="fr-FR"/>
        </w:rPr>
        <w:t>Pour la période du Rapport (janvier-décembre 2019), après une certaine pause (février-avril), le personnel administratif du Secrétariat de l'OISA a été complètement redémarré avec la nomination du Directeur Général, qui est responsable devant le Conseil Exécutif et l'Assemblée Générale de l'Organisation pour la mise en œuvre des activités du Secrétariat</w:t>
      </w:r>
      <w:r>
        <w:rPr>
          <w:rFonts w:asciiTheme="majorBidi" w:hAnsiTheme="majorBidi" w:cstheme="majorBidi"/>
          <w:sz w:val="24"/>
          <w:szCs w:val="24"/>
          <w:lang w:val="fr-FR"/>
        </w:rPr>
        <w:t xml:space="preserve"> </w:t>
      </w:r>
      <w:r w:rsidR="00BD24FD" w:rsidRPr="004E7DCD">
        <w:rPr>
          <w:rFonts w:asciiTheme="majorBidi" w:hAnsiTheme="majorBidi" w:cstheme="majorBidi"/>
          <w:sz w:val="24"/>
          <w:szCs w:val="24"/>
          <w:lang w:val="fr-FR"/>
        </w:rPr>
        <w:t>:</w:t>
      </w:r>
    </w:p>
    <w:p w14:paraId="347F5C9F" w14:textId="3D5716E6" w:rsidR="00623243" w:rsidRPr="00623243" w:rsidRDefault="004E7DCD" w:rsidP="00623243">
      <w:pPr>
        <w:pStyle w:val="a3"/>
        <w:numPr>
          <w:ilvl w:val="0"/>
          <w:numId w:val="2"/>
        </w:numPr>
        <w:tabs>
          <w:tab w:val="left" w:pos="993"/>
        </w:tabs>
        <w:spacing w:after="0"/>
        <w:ind w:left="0" w:firstLine="709"/>
        <w:jc w:val="both"/>
        <w:rPr>
          <w:rFonts w:asciiTheme="majorBidi" w:hAnsiTheme="majorBidi" w:cstheme="majorBidi"/>
          <w:sz w:val="24"/>
          <w:szCs w:val="24"/>
          <w:lang w:val="fr-FR"/>
        </w:rPr>
      </w:pPr>
      <w:r w:rsidRPr="00623243">
        <w:rPr>
          <w:rFonts w:asciiTheme="majorBidi" w:hAnsiTheme="majorBidi" w:cstheme="majorBidi"/>
          <w:sz w:val="24"/>
          <w:szCs w:val="24"/>
          <w:lang w:val="fr-FR"/>
        </w:rPr>
        <w:t xml:space="preserve">Par la résolution de la première session de l'Assemblée Générale de l'Organisation Islamique pour la Sécurité Alimentaire en avril 2016, M. </w:t>
      </w:r>
      <w:r w:rsidR="00CB2705">
        <w:rPr>
          <w:rFonts w:asciiTheme="majorBidi" w:hAnsiTheme="majorBidi" w:cstheme="majorBidi"/>
          <w:sz w:val="24"/>
          <w:szCs w:val="24"/>
          <w:lang w:val="fr-FR"/>
        </w:rPr>
        <w:t>J</w:t>
      </w:r>
      <w:r w:rsidRPr="00623243">
        <w:rPr>
          <w:rFonts w:asciiTheme="majorBidi" w:hAnsiTheme="majorBidi" w:cstheme="majorBidi"/>
          <w:sz w:val="24"/>
          <w:szCs w:val="24"/>
          <w:lang w:val="fr-FR"/>
        </w:rPr>
        <w:t>almukhanov Yerzhan</w:t>
      </w:r>
      <w:r w:rsidR="004D49D2">
        <w:rPr>
          <w:rFonts w:asciiTheme="majorBidi" w:hAnsiTheme="majorBidi" w:cstheme="majorBidi"/>
          <w:sz w:val="24"/>
          <w:szCs w:val="24"/>
          <w:lang w:val="fr-FR"/>
        </w:rPr>
        <w:t xml:space="preserve"> </w:t>
      </w:r>
      <w:r w:rsidR="004D49D2" w:rsidRPr="00626FA9">
        <w:rPr>
          <w:rFonts w:asciiTheme="majorBidi" w:hAnsiTheme="majorBidi" w:cstheme="majorBidi"/>
          <w:sz w:val="24"/>
          <w:szCs w:val="24"/>
          <w:lang w:val="en-GB"/>
        </w:rPr>
        <w:t>Zhulamanovich</w:t>
      </w:r>
      <w:r w:rsidRPr="00623243">
        <w:rPr>
          <w:rFonts w:asciiTheme="majorBidi" w:hAnsiTheme="majorBidi" w:cstheme="majorBidi"/>
          <w:sz w:val="24"/>
          <w:szCs w:val="24"/>
          <w:lang w:val="fr-FR"/>
        </w:rPr>
        <w:t>, qui a pris ses fonctions le 1er janvier 2018, a été nommé au poste de Directeur Général conformément à l'ordre N° 1L/C du 01 janvier 2018.</w:t>
      </w:r>
    </w:p>
    <w:p w14:paraId="05091DF5" w14:textId="7D2C5EA1" w:rsidR="004E7DCD" w:rsidRPr="00623243" w:rsidRDefault="004E7DCD" w:rsidP="00623243">
      <w:pPr>
        <w:pStyle w:val="a3"/>
        <w:numPr>
          <w:ilvl w:val="0"/>
          <w:numId w:val="2"/>
        </w:numPr>
        <w:tabs>
          <w:tab w:val="left" w:pos="993"/>
        </w:tabs>
        <w:spacing w:after="0"/>
        <w:ind w:left="0" w:firstLine="709"/>
        <w:jc w:val="both"/>
        <w:rPr>
          <w:rFonts w:asciiTheme="majorBidi" w:hAnsiTheme="majorBidi" w:cstheme="majorBidi"/>
          <w:sz w:val="24"/>
          <w:szCs w:val="24"/>
          <w:lang w:val="fr-FR"/>
        </w:rPr>
      </w:pPr>
      <w:r w:rsidRPr="00623243">
        <w:rPr>
          <w:rFonts w:asciiTheme="majorBidi" w:hAnsiTheme="majorBidi" w:cstheme="majorBidi"/>
          <w:sz w:val="24"/>
          <w:szCs w:val="24"/>
          <w:lang w:val="fr-FR"/>
        </w:rPr>
        <w:t xml:space="preserve">Par lettre N° 4-2-5/1380-i du 30 avril 2019 du Ministère de l'Agriculture de la République du Kazakhstan, envoyée au Secrétariat de l'Organisation Islamique pour la Sécurité Alimentaire, il a été signalé que le 10 avril 2019, </w:t>
      </w:r>
      <w:r w:rsidR="00CB2705">
        <w:rPr>
          <w:rFonts w:asciiTheme="majorBidi" w:hAnsiTheme="majorBidi" w:cstheme="majorBidi"/>
          <w:sz w:val="24"/>
          <w:szCs w:val="24"/>
          <w:lang w:val="fr-FR"/>
        </w:rPr>
        <w:t>J</w:t>
      </w:r>
      <w:r w:rsidRPr="00623243">
        <w:rPr>
          <w:rFonts w:asciiTheme="majorBidi" w:hAnsiTheme="majorBidi" w:cstheme="majorBidi"/>
          <w:sz w:val="24"/>
          <w:szCs w:val="24"/>
          <w:lang w:val="fr-FR"/>
        </w:rPr>
        <w:t>almukhanov Yerzhan Zhulamanovich a volontairement quitté le poste de Directeur Général.</w:t>
      </w:r>
    </w:p>
    <w:p w14:paraId="11CE3A55" w14:textId="77777777" w:rsidR="00623243" w:rsidRPr="00623243" w:rsidRDefault="004E7DCD" w:rsidP="00623243">
      <w:pPr>
        <w:pStyle w:val="a3"/>
        <w:numPr>
          <w:ilvl w:val="0"/>
          <w:numId w:val="2"/>
        </w:numPr>
        <w:tabs>
          <w:tab w:val="left" w:pos="993"/>
        </w:tabs>
        <w:spacing w:after="0"/>
        <w:ind w:left="0" w:firstLine="709"/>
        <w:jc w:val="both"/>
        <w:rPr>
          <w:rFonts w:asciiTheme="majorBidi" w:hAnsiTheme="majorBidi" w:cstheme="majorBidi"/>
          <w:sz w:val="24"/>
          <w:szCs w:val="24"/>
          <w:lang w:val="fr-FR"/>
        </w:rPr>
      </w:pPr>
      <w:r w:rsidRPr="00623243">
        <w:rPr>
          <w:rFonts w:asciiTheme="majorBidi" w:hAnsiTheme="majorBidi" w:cstheme="majorBidi"/>
          <w:sz w:val="24"/>
          <w:szCs w:val="24"/>
          <w:lang w:val="fr-FR"/>
        </w:rPr>
        <w:t>Par lettre du Ministère des Affaires étrangères de la République du Kazakhstan N° 19-2 / 824 du 13 mai 2019, Yerlan Alimzhanuly Baidaulet, entré en fonction le 26 avril 2019, a été nommé au poste de Directeur Général par intérim à conformément à l'ordre N° 1 du 26 avril 2019.</w:t>
      </w:r>
    </w:p>
    <w:p w14:paraId="6ECD2A77" w14:textId="393DC57E" w:rsidR="00626FA9" w:rsidRPr="00623243" w:rsidRDefault="004E7DCD" w:rsidP="00623243">
      <w:pPr>
        <w:pStyle w:val="a3"/>
        <w:numPr>
          <w:ilvl w:val="0"/>
          <w:numId w:val="2"/>
        </w:numPr>
        <w:tabs>
          <w:tab w:val="left" w:pos="993"/>
        </w:tabs>
        <w:spacing w:after="0"/>
        <w:ind w:left="0" w:firstLine="709"/>
        <w:jc w:val="both"/>
        <w:rPr>
          <w:rFonts w:asciiTheme="majorBidi" w:hAnsiTheme="majorBidi" w:cstheme="majorBidi"/>
          <w:sz w:val="24"/>
          <w:szCs w:val="24"/>
          <w:lang w:val="fr-FR"/>
        </w:rPr>
      </w:pPr>
      <w:r w:rsidRPr="00623243">
        <w:rPr>
          <w:rFonts w:asciiTheme="majorBidi" w:hAnsiTheme="majorBidi" w:cstheme="majorBidi"/>
          <w:sz w:val="24"/>
          <w:szCs w:val="24"/>
          <w:lang w:val="fr-FR"/>
        </w:rPr>
        <w:t>Sur la base de la résolution N° IOFS /GA/1-5-2019 du 29 août 2019, à la Deuxième session de l'Assemblée Générale de l'Organisation Islamique pour la Sécurité Alimentaire, M. Yerlan Alimzhanuly Baidaulet, qui a pris ses fonctions le 29 août 2019, a été nommé au poste de Directeur Général</w:t>
      </w:r>
      <w:r w:rsidR="00626FA9" w:rsidRPr="00623243">
        <w:rPr>
          <w:rFonts w:asciiTheme="majorBidi" w:hAnsiTheme="majorBidi" w:cstheme="majorBidi"/>
          <w:sz w:val="24"/>
          <w:szCs w:val="24"/>
          <w:lang w:val="fr-FR"/>
        </w:rPr>
        <w:t>.</w:t>
      </w:r>
    </w:p>
    <w:p w14:paraId="3AFE5919" w14:textId="53DE52F8" w:rsidR="001B7B25" w:rsidRPr="001B7B25" w:rsidRDefault="001B7B25" w:rsidP="001B7B25">
      <w:pPr>
        <w:spacing w:after="0"/>
        <w:jc w:val="both"/>
        <w:rPr>
          <w:rFonts w:asciiTheme="majorBidi" w:hAnsiTheme="majorBidi" w:cstheme="majorBidi"/>
          <w:sz w:val="24"/>
          <w:szCs w:val="24"/>
          <w:lang w:val="fr-FR"/>
        </w:rPr>
      </w:pPr>
      <w:r w:rsidRPr="001B7B25">
        <w:rPr>
          <w:rFonts w:asciiTheme="majorBidi" w:hAnsiTheme="majorBidi" w:cstheme="majorBidi"/>
          <w:b/>
          <w:bCs/>
          <w:sz w:val="24"/>
          <w:szCs w:val="24"/>
          <w:lang w:val="fr-FR"/>
        </w:rPr>
        <w:lastRenderedPageBreak/>
        <w:t>L'Organisation Islamique pour la Sécurité Alimentaire</w:t>
      </w:r>
      <w:r w:rsidRPr="001B7B25">
        <w:rPr>
          <w:rFonts w:asciiTheme="majorBidi" w:hAnsiTheme="majorBidi" w:cstheme="majorBidi"/>
          <w:sz w:val="24"/>
          <w:szCs w:val="24"/>
          <w:lang w:val="fr-FR"/>
        </w:rPr>
        <w:t xml:space="preserve"> dispose de fonds monétaires dans des comptes courants et en devises étrangères dans la «</w:t>
      </w:r>
      <w:r>
        <w:rPr>
          <w:rFonts w:asciiTheme="majorBidi" w:hAnsiTheme="majorBidi" w:cstheme="majorBidi"/>
          <w:sz w:val="24"/>
          <w:szCs w:val="24"/>
          <w:lang w:val="fr-FR"/>
        </w:rPr>
        <w:t xml:space="preserve"> </w:t>
      </w:r>
      <w:r w:rsidRPr="001B7B25">
        <w:rPr>
          <w:rFonts w:asciiTheme="majorBidi" w:hAnsiTheme="majorBidi" w:cstheme="majorBidi"/>
          <w:sz w:val="24"/>
          <w:szCs w:val="24"/>
          <w:lang w:val="fr-FR"/>
        </w:rPr>
        <w:t>Banque islamique</w:t>
      </w:r>
      <w:r>
        <w:rPr>
          <w:rFonts w:asciiTheme="majorBidi" w:hAnsiTheme="majorBidi" w:cstheme="majorBidi"/>
          <w:sz w:val="24"/>
          <w:szCs w:val="24"/>
          <w:lang w:val="fr-FR"/>
        </w:rPr>
        <w:t xml:space="preserve"> </w:t>
      </w:r>
      <w:r w:rsidRPr="001B7B25">
        <w:rPr>
          <w:rFonts w:asciiTheme="majorBidi" w:hAnsiTheme="majorBidi" w:cstheme="majorBidi"/>
          <w:sz w:val="24"/>
          <w:szCs w:val="24"/>
          <w:lang w:val="fr-FR"/>
        </w:rPr>
        <w:t>« Al Hilal » SARL, des fonds monétaires en espèces à la caisse (en tenge de la République du Kazakhstan et en dollars américains) et des fonds monétaires en déposer des comptes bancaires.</w:t>
      </w:r>
    </w:p>
    <w:p w14:paraId="4AACE48E" w14:textId="77777777" w:rsidR="001B7B25" w:rsidRPr="001B7B25" w:rsidRDefault="001B7B25" w:rsidP="001B7B25">
      <w:pPr>
        <w:spacing w:after="0"/>
        <w:jc w:val="both"/>
        <w:rPr>
          <w:rFonts w:asciiTheme="majorBidi" w:hAnsiTheme="majorBidi" w:cstheme="majorBidi"/>
          <w:sz w:val="24"/>
          <w:szCs w:val="24"/>
          <w:lang w:val="fr-FR"/>
        </w:rPr>
      </w:pPr>
      <w:r w:rsidRPr="001B7B25">
        <w:rPr>
          <w:rFonts w:asciiTheme="majorBidi" w:hAnsiTheme="majorBidi" w:cstheme="majorBidi"/>
          <w:sz w:val="24"/>
          <w:szCs w:val="24"/>
          <w:lang w:val="fr-FR"/>
        </w:rPr>
        <w:t>L'exercice comptable commence le 1er janvier et se termine le 31 décembre.</w:t>
      </w:r>
    </w:p>
    <w:p w14:paraId="65C8F892" w14:textId="73E7ED24" w:rsidR="001B7B25" w:rsidRPr="001B7B25" w:rsidRDefault="001B7B25" w:rsidP="001B7B25">
      <w:pPr>
        <w:spacing w:after="0"/>
        <w:jc w:val="both"/>
        <w:rPr>
          <w:rFonts w:asciiTheme="majorBidi" w:hAnsiTheme="majorBidi" w:cstheme="majorBidi"/>
          <w:sz w:val="24"/>
          <w:szCs w:val="24"/>
          <w:lang w:val="fr-FR"/>
        </w:rPr>
      </w:pPr>
      <w:r w:rsidRPr="001B7B25">
        <w:rPr>
          <w:rFonts w:asciiTheme="majorBidi" w:hAnsiTheme="majorBidi" w:cstheme="majorBidi"/>
          <w:sz w:val="24"/>
          <w:szCs w:val="24"/>
          <w:lang w:val="fr-FR"/>
        </w:rPr>
        <w:t>Pour 2019, les ressources financières de l'Organisation Islamique pour la Sécurité Alimentaire s'élevaient à 749 103 dollars des E-U. de la contribution annuelle de la République du Kazakhstan, ainsi que l'aide financière, selon la lettre «</w:t>
      </w:r>
      <w:r w:rsidR="00893E85">
        <w:rPr>
          <w:rFonts w:asciiTheme="majorBidi" w:hAnsiTheme="majorBidi" w:cstheme="majorBidi"/>
          <w:sz w:val="24"/>
          <w:szCs w:val="24"/>
          <w:lang w:val="fr-FR"/>
        </w:rPr>
        <w:t xml:space="preserve"> </w:t>
      </w:r>
      <w:r w:rsidRPr="001B7B25">
        <w:rPr>
          <w:rFonts w:asciiTheme="majorBidi" w:hAnsiTheme="majorBidi" w:cstheme="majorBidi"/>
          <w:sz w:val="24"/>
          <w:szCs w:val="24"/>
          <w:lang w:val="fr-FR"/>
        </w:rPr>
        <w:t>IBR CRS/ASIA/2087 291018 SP IOFS/BNK/ALHILAL/2018-3 du 26 décembre 2018 »</w:t>
      </w:r>
      <w:r w:rsidR="00893E85">
        <w:rPr>
          <w:rFonts w:asciiTheme="majorBidi" w:hAnsiTheme="majorBidi" w:cstheme="majorBidi"/>
          <w:sz w:val="24"/>
          <w:szCs w:val="24"/>
          <w:lang w:val="fr-FR"/>
        </w:rPr>
        <w:t xml:space="preserve"> </w:t>
      </w:r>
      <w:r w:rsidRPr="001B7B25">
        <w:rPr>
          <w:rFonts w:asciiTheme="majorBidi" w:hAnsiTheme="majorBidi" w:cstheme="majorBidi"/>
          <w:sz w:val="24"/>
          <w:szCs w:val="24"/>
          <w:lang w:val="fr-FR"/>
        </w:rPr>
        <w:t>pour un montant de 29 400 dollars des E-U.</w:t>
      </w:r>
    </w:p>
    <w:p w14:paraId="2EE4F172" w14:textId="72AF17DC" w:rsidR="00A2457A" w:rsidRPr="001B7B25" w:rsidRDefault="001B7B25" w:rsidP="001B7B25">
      <w:pPr>
        <w:spacing w:after="0"/>
        <w:jc w:val="both"/>
        <w:rPr>
          <w:rFonts w:asciiTheme="majorBidi" w:hAnsiTheme="majorBidi" w:cstheme="majorBidi"/>
          <w:sz w:val="24"/>
          <w:szCs w:val="24"/>
          <w:lang w:val="fr-FR"/>
        </w:rPr>
      </w:pPr>
      <w:r w:rsidRPr="001B7B25">
        <w:rPr>
          <w:rFonts w:asciiTheme="majorBidi" w:hAnsiTheme="majorBidi" w:cstheme="majorBidi"/>
          <w:sz w:val="24"/>
          <w:szCs w:val="24"/>
          <w:lang w:val="fr-FR"/>
        </w:rPr>
        <w:t xml:space="preserve">Pour la période considérée, les dépenses en espèces et bancaires se sont élevées à </w:t>
      </w:r>
      <w:r w:rsidRPr="001B7B25">
        <w:rPr>
          <w:rFonts w:asciiTheme="majorBidi" w:hAnsiTheme="majorBidi" w:cstheme="majorBidi"/>
          <w:b/>
          <w:bCs/>
          <w:sz w:val="24"/>
          <w:szCs w:val="24"/>
          <w:lang w:val="fr-FR"/>
        </w:rPr>
        <w:t>679 688</w:t>
      </w:r>
      <w:r w:rsidRPr="001B7B25">
        <w:rPr>
          <w:rFonts w:asciiTheme="majorBidi" w:hAnsiTheme="majorBidi" w:cstheme="majorBidi"/>
          <w:sz w:val="24"/>
          <w:szCs w:val="24"/>
          <w:lang w:val="fr-FR"/>
        </w:rPr>
        <w:t xml:space="preserve"> </w:t>
      </w:r>
      <w:r w:rsidRPr="001B7B25">
        <w:rPr>
          <w:rFonts w:asciiTheme="majorBidi" w:hAnsiTheme="majorBidi" w:cstheme="majorBidi"/>
          <w:b/>
          <w:bCs/>
          <w:sz w:val="24"/>
          <w:szCs w:val="24"/>
          <w:lang w:val="fr-FR"/>
        </w:rPr>
        <w:t>dollars des E-U.</w:t>
      </w:r>
      <w:r w:rsidRPr="001B7B25">
        <w:rPr>
          <w:rFonts w:asciiTheme="majorBidi" w:hAnsiTheme="majorBidi" w:cstheme="majorBidi"/>
          <w:sz w:val="24"/>
          <w:szCs w:val="24"/>
          <w:lang w:val="fr-FR"/>
        </w:rPr>
        <w:t>, y compris, par source de dépenses</w:t>
      </w:r>
      <w:r>
        <w:rPr>
          <w:rFonts w:asciiTheme="majorBidi" w:hAnsiTheme="majorBidi" w:cstheme="majorBidi"/>
          <w:sz w:val="24"/>
          <w:szCs w:val="24"/>
          <w:lang w:val="fr-FR"/>
        </w:rPr>
        <w:t xml:space="preserve"> </w:t>
      </w:r>
      <w:r w:rsidR="00A2457A" w:rsidRPr="001B7B25">
        <w:rPr>
          <w:rFonts w:asciiTheme="majorBidi" w:hAnsiTheme="majorBidi" w:cstheme="majorBidi"/>
          <w:sz w:val="24"/>
          <w:szCs w:val="24"/>
          <w:lang w:val="fr-FR"/>
        </w:rPr>
        <w:t>:</w:t>
      </w:r>
    </w:p>
    <w:p w14:paraId="029F4412" w14:textId="77777777" w:rsidR="00972CD7" w:rsidRPr="001B7B25" w:rsidRDefault="00972CD7" w:rsidP="00BB263F">
      <w:pPr>
        <w:pStyle w:val="a3"/>
        <w:tabs>
          <w:tab w:val="left" w:pos="993"/>
        </w:tabs>
        <w:spacing w:after="0"/>
        <w:ind w:left="0" w:firstLine="709"/>
        <w:jc w:val="both"/>
        <w:rPr>
          <w:rFonts w:asciiTheme="majorBidi" w:hAnsiTheme="majorBidi" w:cstheme="majorBidi"/>
          <w:b/>
          <w:bCs/>
          <w:sz w:val="24"/>
          <w:szCs w:val="24"/>
          <w:lang w:val="fr-FR"/>
        </w:rPr>
      </w:pPr>
    </w:p>
    <w:p w14:paraId="33030D21" w14:textId="77777777" w:rsidR="00BB263F" w:rsidRDefault="00BB263F" w:rsidP="00BB263F">
      <w:pPr>
        <w:pStyle w:val="a3"/>
        <w:tabs>
          <w:tab w:val="left" w:pos="993"/>
        </w:tabs>
        <w:spacing w:after="0"/>
        <w:ind w:left="0" w:firstLine="709"/>
        <w:jc w:val="both"/>
        <w:rPr>
          <w:rFonts w:asciiTheme="majorBidi" w:hAnsiTheme="majorBidi" w:cstheme="majorBidi"/>
          <w:b/>
          <w:bCs/>
          <w:sz w:val="24"/>
          <w:szCs w:val="24"/>
          <w:lang w:val="en-GB"/>
        </w:rPr>
      </w:pPr>
      <w:r w:rsidRPr="00BB263F">
        <w:rPr>
          <w:rFonts w:asciiTheme="majorBidi" w:hAnsiTheme="majorBidi" w:cstheme="majorBidi"/>
          <w:b/>
          <w:bCs/>
          <w:sz w:val="24"/>
          <w:szCs w:val="24"/>
          <w:lang w:val="en-GB"/>
        </w:rPr>
        <w:t>Table No.1</w:t>
      </w:r>
    </w:p>
    <w:p w14:paraId="171B7360" w14:textId="77777777" w:rsidR="00972CD7" w:rsidRPr="00BB263F" w:rsidRDefault="00972CD7" w:rsidP="00BB263F">
      <w:pPr>
        <w:pStyle w:val="a3"/>
        <w:tabs>
          <w:tab w:val="left" w:pos="993"/>
        </w:tabs>
        <w:spacing w:after="0"/>
        <w:ind w:left="0" w:firstLine="709"/>
        <w:jc w:val="both"/>
        <w:rPr>
          <w:rFonts w:asciiTheme="majorBidi" w:hAnsiTheme="majorBidi" w:cstheme="majorBidi"/>
          <w:b/>
          <w:bCs/>
          <w:sz w:val="24"/>
          <w:szCs w:val="24"/>
          <w:lang w:val="en-GB"/>
        </w:rPr>
      </w:pPr>
    </w:p>
    <w:tbl>
      <w:tblPr>
        <w:tblStyle w:val="a4"/>
        <w:tblW w:w="9747" w:type="dxa"/>
        <w:tblLook w:val="04A0" w:firstRow="1" w:lastRow="0" w:firstColumn="1" w:lastColumn="0" w:noHBand="0" w:noVBand="1"/>
      </w:tblPr>
      <w:tblGrid>
        <w:gridCol w:w="1403"/>
        <w:gridCol w:w="3950"/>
        <w:gridCol w:w="4394"/>
      </w:tblGrid>
      <w:tr w:rsidR="00BB263F" w:rsidRPr="00F15FC3" w14:paraId="60DD350C" w14:textId="77777777" w:rsidTr="00BB263F">
        <w:tc>
          <w:tcPr>
            <w:tcW w:w="1403" w:type="dxa"/>
          </w:tcPr>
          <w:p w14:paraId="1325DFD4" w14:textId="70844027" w:rsidR="00BB263F" w:rsidRPr="00E17D32" w:rsidRDefault="006F1AA3" w:rsidP="006F1AA3">
            <w:pPr>
              <w:pStyle w:val="a3"/>
              <w:tabs>
                <w:tab w:val="left" w:pos="993"/>
              </w:tabs>
              <w:ind w:left="0"/>
              <w:jc w:val="both"/>
              <w:rPr>
                <w:rFonts w:asciiTheme="majorBidi" w:hAnsiTheme="majorBidi" w:cstheme="majorBidi"/>
                <w:b/>
                <w:bCs/>
                <w:sz w:val="24"/>
                <w:szCs w:val="24"/>
                <w:lang w:val="en-GB"/>
              </w:rPr>
            </w:pPr>
            <w:r w:rsidRPr="006F1AA3">
              <w:rPr>
                <w:rFonts w:asciiTheme="majorBidi" w:hAnsiTheme="majorBidi" w:cstheme="majorBidi"/>
                <w:b/>
                <w:bCs/>
                <w:sz w:val="24"/>
                <w:szCs w:val="24"/>
                <w:lang w:val="en-GB"/>
              </w:rPr>
              <w:t>No.</w:t>
            </w:r>
            <w:r w:rsidR="001B7B25">
              <w:t xml:space="preserve"> </w:t>
            </w:r>
            <w:r w:rsidR="00DE313E">
              <w:t>E</w:t>
            </w:r>
            <w:r w:rsidR="00DE313E">
              <w:rPr>
                <w:rFonts w:asciiTheme="majorBidi" w:hAnsiTheme="majorBidi" w:cstheme="majorBidi"/>
                <w:b/>
                <w:bCs/>
                <w:sz w:val="24"/>
                <w:szCs w:val="24"/>
                <w:lang w:val="en-GB"/>
              </w:rPr>
              <w:t xml:space="preserve">n </w:t>
            </w:r>
            <w:r w:rsidR="001B7B25" w:rsidRPr="001B7B25">
              <w:rPr>
                <w:rFonts w:asciiTheme="majorBidi" w:hAnsiTheme="majorBidi" w:cstheme="majorBidi"/>
                <w:b/>
                <w:bCs/>
                <w:sz w:val="24"/>
                <w:szCs w:val="24"/>
                <w:lang w:val="en-GB"/>
              </w:rPr>
              <w:t>séquence</w:t>
            </w:r>
          </w:p>
        </w:tc>
        <w:tc>
          <w:tcPr>
            <w:tcW w:w="3950" w:type="dxa"/>
          </w:tcPr>
          <w:p w14:paraId="2F08731A" w14:textId="4EF60B97" w:rsidR="00BB263F" w:rsidRPr="00E17D32" w:rsidRDefault="001B7B25" w:rsidP="00A2457A">
            <w:pPr>
              <w:pStyle w:val="a3"/>
              <w:tabs>
                <w:tab w:val="left" w:pos="993"/>
              </w:tabs>
              <w:ind w:left="0"/>
              <w:jc w:val="both"/>
              <w:rPr>
                <w:rFonts w:asciiTheme="majorBidi" w:hAnsiTheme="majorBidi" w:cstheme="majorBidi"/>
                <w:b/>
                <w:bCs/>
                <w:sz w:val="24"/>
                <w:szCs w:val="24"/>
                <w:lang w:val="en-GB"/>
              </w:rPr>
            </w:pPr>
            <w:r w:rsidRPr="001B7B25">
              <w:rPr>
                <w:rFonts w:asciiTheme="majorBidi" w:hAnsiTheme="majorBidi" w:cstheme="majorBidi"/>
                <w:b/>
                <w:bCs/>
                <w:sz w:val="24"/>
                <w:szCs w:val="24"/>
                <w:lang w:val="en-GB"/>
              </w:rPr>
              <w:t>TITRES</w:t>
            </w:r>
          </w:p>
        </w:tc>
        <w:tc>
          <w:tcPr>
            <w:tcW w:w="4394" w:type="dxa"/>
          </w:tcPr>
          <w:p w14:paraId="723470ED" w14:textId="51437A2B" w:rsidR="001B7B25" w:rsidRPr="001B7B25" w:rsidRDefault="00180480" w:rsidP="00A2457A">
            <w:pPr>
              <w:pStyle w:val="a3"/>
              <w:tabs>
                <w:tab w:val="left" w:pos="993"/>
              </w:tabs>
              <w:ind w:left="0"/>
              <w:jc w:val="both"/>
              <w:rPr>
                <w:rFonts w:asciiTheme="majorBidi" w:hAnsiTheme="majorBidi" w:cstheme="majorBidi"/>
                <w:b/>
                <w:bCs/>
                <w:sz w:val="24"/>
                <w:szCs w:val="24"/>
                <w:lang w:val="fr-FR"/>
              </w:rPr>
            </w:pPr>
            <w:r w:rsidRPr="00D5735A">
              <w:rPr>
                <w:rFonts w:asciiTheme="majorBidi" w:hAnsiTheme="majorBidi" w:cstheme="majorBidi"/>
                <w:b/>
                <w:bCs/>
                <w:sz w:val="24"/>
                <w:szCs w:val="24"/>
                <w:lang w:val="fr-FR"/>
              </w:rPr>
              <w:t>Dépenses</w:t>
            </w:r>
            <w:r w:rsidR="001B7B25" w:rsidRPr="00D5735A">
              <w:rPr>
                <w:rFonts w:asciiTheme="majorBidi" w:hAnsiTheme="majorBidi" w:cstheme="majorBidi"/>
                <w:b/>
                <w:bCs/>
                <w:sz w:val="24"/>
                <w:szCs w:val="24"/>
                <w:lang w:val="fr-FR"/>
              </w:rPr>
              <w:t xml:space="preserve"> en espèces et bancaires </w:t>
            </w:r>
            <w:r w:rsidR="00BB263F" w:rsidRPr="001B7B25">
              <w:rPr>
                <w:rFonts w:asciiTheme="majorBidi" w:hAnsiTheme="majorBidi" w:cstheme="majorBidi"/>
                <w:b/>
                <w:bCs/>
                <w:sz w:val="24"/>
                <w:szCs w:val="24"/>
                <w:lang w:val="fr-FR"/>
              </w:rPr>
              <w:t>(</w:t>
            </w:r>
            <w:r w:rsidR="001B7B25" w:rsidRPr="001B7B25">
              <w:rPr>
                <w:rFonts w:asciiTheme="majorBidi" w:hAnsiTheme="majorBidi" w:cstheme="majorBidi"/>
                <w:b/>
                <w:bCs/>
                <w:sz w:val="24"/>
                <w:szCs w:val="24"/>
                <w:lang w:val="fr-FR"/>
              </w:rPr>
              <w:t>dollar</w:t>
            </w:r>
            <w:r w:rsidR="001B7B25">
              <w:rPr>
                <w:rFonts w:asciiTheme="majorBidi" w:hAnsiTheme="majorBidi" w:cstheme="majorBidi"/>
                <w:b/>
                <w:bCs/>
                <w:sz w:val="24"/>
                <w:szCs w:val="24"/>
                <w:lang w:val="fr-FR"/>
              </w:rPr>
              <w:t>s</w:t>
            </w:r>
            <w:r w:rsidR="001B7B25" w:rsidRPr="001B7B25">
              <w:rPr>
                <w:rFonts w:asciiTheme="majorBidi" w:hAnsiTheme="majorBidi" w:cstheme="majorBidi"/>
                <w:b/>
                <w:bCs/>
                <w:sz w:val="24"/>
                <w:szCs w:val="24"/>
                <w:lang w:val="fr-FR"/>
              </w:rPr>
              <w:t xml:space="preserve"> </w:t>
            </w:r>
            <w:r w:rsidR="00893E85" w:rsidRPr="00893E85">
              <w:rPr>
                <w:rFonts w:asciiTheme="majorBidi" w:hAnsiTheme="majorBidi" w:cstheme="majorBidi"/>
                <w:b/>
                <w:bCs/>
                <w:sz w:val="24"/>
                <w:szCs w:val="24"/>
                <w:lang w:val="fr-FR"/>
              </w:rPr>
              <w:t>américains</w:t>
            </w:r>
            <w:r w:rsidR="001B7B25" w:rsidRPr="001B7B25">
              <w:rPr>
                <w:rFonts w:asciiTheme="majorBidi" w:hAnsiTheme="majorBidi" w:cstheme="majorBidi"/>
                <w:b/>
                <w:bCs/>
                <w:sz w:val="24"/>
                <w:szCs w:val="24"/>
                <w:lang w:val="fr-FR"/>
              </w:rPr>
              <w:t>)</w:t>
            </w:r>
          </w:p>
        </w:tc>
      </w:tr>
      <w:tr w:rsidR="001B7B25" w14:paraId="62ABB674" w14:textId="77777777" w:rsidTr="00BB263F">
        <w:tc>
          <w:tcPr>
            <w:tcW w:w="1403" w:type="dxa"/>
          </w:tcPr>
          <w:p w14:paraId="2148FE6E" w14:textId="77777777" w:rsidR="001B7B25" w:rsidRDefault="001B7B25" w:rsidP="001B7B25">
            <w:pPr>
              <w:pStyle w:val="a3"/>
              <w:tabs>
                <w:tab w:val="left" w:pos="993"/>
              </w:tabs>
              <w:ind w:left="0"/>
              <w:jc w:val="both"/>
              <w:rPr>
                <w:rFonts w:asciiTheme="majorBidi" w:hAnsiTheme="majorBidi" w:cstheme="majorBidi"/>
                <w:sz w:val="24"/>
                <w:szCs w:val="24"/>
                <w:lang w:val="en-GB"/>
              </w:rPr>
            </w:pPr>
            <w:r>
              <w:rPr>
                <w:rFonts w:asciiTheme="majorBidi" w:hAnsiTheme="majorBidi" w:cstheme="majorBidi"/>
                <w:sz w:val="24"/>
                <w:szCs w:val="24"/>
                <w:lang w:val="en-GB"/>
              </w:rPr>
              <w:t>1</w:t>
            </w:r>
          </w:p>
        </w:tc>
        <w:tc>
          <w:tcPr>
            <w:tcW w:w="3950" w:type="dxa"/>
          </w:tcPr>
          <w:p w14:paraId="0855791D" w14:textId="6B7E2C71" w:rsidR="001B7B25" w:rsidRPr="001B7B25" w:rsidRDefault="001B7B25" w:rsidP="001B7B25">
            <w:pPr>
              <w:pStyle w:val="a3"/>
              <w:tabs>
                <w:tab w:val="left" w:pos="993"/>
              </w:tabs>
              <w:ind w:left="0"/>
              <w:jc w:val="both"/>
              <w:rPr>
                <w:rFonts w:ascii="Times New Roman" w:hAnsi="Times New Roman" w:cs="Times New Roman"/>
                <w:sz w:val="24"/>
                <w:szCs w:val="24"/>
                <w:lang w:val="en-GB"/>
              </w:rPr>
            </w:pPr>
            <w:r w:rsidRPr="001B7B25">
              <w:rPr>
                <w:rFonts w:ascii="Times New Roman" w:hAnsi="Times New Roman" w:cs="Times New Roman"/>
              </w:rPr>
              <w:t>ÉMOLUMENTS DU PERSONNEL</w:t>
            </w:r>
          </w:p>
        </w:tc>
        <w:tc>
          <w:tcPr>
            <w:tcW w:w="4394" w:type="dxa"/>
          </w:tcPr>
          <w:p w14:paraId="5213F506" w14:textId="77777777" w:rsidR="001B7B25" w:rsidRPr="00BB263F" w:rsidRDefault="001B7B25" w:rsidP="001B7B25">
            <w:pPr>
              <w:pStyle w:val="a3"/>
              <w:tabs>
                <w:tab w:val="left" w:pos="993"/>
              </w:tabs>
              <w:ind w:left="0"/>
              <w:jc w:val="both"/>
              <w:rPr>
                <w:rFonts w:asciiTheme="majorBidi" w:hAnsiTheme="majorBidi" w:cstheme="majorBidi"/>
                <w:sz w:val="24"/>
                <w:szCs w:val="24"/>
                <w:lang w:val="en-GB"/>
              </w:rPr>
            </w:pPr>
            <w:r w:rsidRPr="00BB263F">
              <w:rPr>
                <w:rFonts w:asciiTheme="majorBidi" w:hAnsiTheme="majorBidi" w:cstheme="majorBidi"/>
                <w:sz w:val="24"/>
                <w:szCs w:val="24"/>
                <w:lang w:val="en-GB"/>
              </w:rPr>
              <w:t>303687</w:t>
            </w:r>
          </w:p>
        </w:tc>
      </w:tr>
      <w:tr w:rsidR="001B7B25" w14:paraId="3DBF47D4" w14:textId="77777777" w:rsidTr="00BB263F">
        <w:tc>
          <w:tcPr>
            <w:tcW w:w="1403" w:type="dxa"/>
          </w:tcPr>
          <w:p w14:paraId="708360B8" w14:textId="77777777" w:rsidR="001B7B25" w:rsidRDefault="001B7B25" w:rsidP="001B7B25">
            <w:pPr>
              <w:pStyle w:val="a3"/>
              <w:tabs>
                <w:tab w:val="left" w:pos="993"/>
              </w:tabs>
              <w:ind w:left="0"/>
              <w:jc w:val="both"/>
              <w:rPr>
                <w:rFonts w:asciiTheme="majorBidi" w:hAnsiTheme="majorBidi" w:cstheme="majorBidi"/>
                <w:sz w:val="24"/>
                <w:szCs w:val="24"/>
                <w:lang w:val="en-GB"/>
              </w:rPr>
            </w:pPr>
            <w:r>
              <w:rPr>
                <w:rFonts w:asciiTheme="majorBidi" w:hAnsiTheme="majorBidi" w:cstheme="majorBidi"/>
                <w:sz w:val="24"/>
                <w:szCs w:val="24"/>
                <w:lang w:val="en-GB"/>
              </w:rPr>
              <w:t>2</w:t>
            </w:r>
          </w:p>
        </w:tc>
        <w:tc>
          <w:tcPr>
            <w:tcW w:w="3950" w:type="dxa"/>
          </w:tcPr>
          <w:p w14:paraId="7B227836" w14:textId="45AF7D5D" w:rsidR="001B7B25" w:rsidRPr="001B7B25" w:rsidRDefault="001B7B25" w:rsidP="001B7B25">
            <w:pPr>
              <w:pStyle w:val="a3"/>
              <w:tabs>
                <w:tab w:val="left" w:pos="993"/>
              </w:tabs>
              <w:ind w:left="0"/>
              <w:jc w:val="both"/>
              <w:rPr>
                <w:rFonts w:ascii="Times New Roman" w:hAnsi="Times New Roman" w:cs="Times New Roman"/>
                <w:sz w:val="24"/>
                <w:szCs w:val="24"/>
                <w:lang w:val="en-GB"/>
              </w:rPr>
            </w:pPr>
            <w:r w:rsidRPr="001B7B25">
              <w:rPr>
                <w:rFonts w:ascii="Times New Roman" w:hAnsi="Times New Roman" w:cs="Times New Roman"/>
              </w:rPr>
              <w:t>DÉPENSES RÉCURRENTES</w:t>
            </w:r>
          </w:p>
        </w:tc>
        <w:tc>
          <w:tcPr>
            <w:tcW w:w="4394" w:type="dxa"/>
          </w:tcPr>
          <w:p w14:paraId="746ABC1B" w14:textId="77777777" w:rsidR="001B7B25" w:rsidRPr="00BB263F" w:rsidRDefault="001B7B25" w:rsidP="001B7B25">
            <w:pPr>
              <w:pStyle w:val="a3"/>
              <w:tabs>
                <w:tab w:val="left" w:pos="993"/>
              </w:tabs>
              <w:ind w:left="0"/>
              <w:jc w:val="both"/>
              <w:rPr>
                <w:rFonts w:asciiTheme="majorBidi" w:hAnsiTheme="majorBidi" w:cstheme="majorBidi"/>
                <w:sz w:val="24"/>
                <w:szCs w:val="24"/>
                <w:lang w:val="en-GB"/>
              </w:rPr>
            </w:pPr>
            <w:r w:rsidRPr="00EF5D6E">
              <w:rPr>
                <w:rFonts w:asciiTheme="majorBidi" w:hAnsiTheme="majorBidi" w:cstheme="majorBidi"/>
                <w:sz w:val="24"/>
                <w:szCs w:val="24"/>
                <w:lang w:val="en-GB"/>
              </w:rPr>
              <w:t>172949</w:t>
            </w:r>
          </w:p>
        </w:tc>
      </w:tr>
      <w:tr w:rsidR="001B7B25" w14:paraId="3B70B664" w14:textId="77777777" w:rsidTr="00BB263F">
        <w:tc>
          <w:tcPr>
            <w:tcW w:w="1403" w:type="dxa"/>
          </w:tcPr>
          <w:p w14:paraId="6E3358C5" w14:textId="77777777" w:rsidR="001B7B25" w:rsidRDefault="001B7B25" w:rsidP="001B7B25">
            <w:pPr>
              <w:pStyle w:val="a3"/>
              <w:tabs>
                <w:tab w:val="left" w:pos="993"/>
              </w:tabs>
              <w:ind w:left="0"/>
              <w:jc w:val="both"/>
              <w:rPr>
                <w:rFonts w:asciiTheme="majorBidi" w:hAnsiTheme="majorBidi" w:cstheme="majorBidi"/>
                <w:sz w:val="24"/>
                <w:szCs w:val="24"/>
                <w:lang w:val="en-GB"/>
              </w:rPr>
            </w:pPr>
            <w:r>
              <w:rPr>
                <w:rFonts w:asciiTheme="majorBidi" w:hAnsiTheme="majorBidi" w:cstheme="majorBidi"/>
                <w:sz w:val="24"/>
                <w:szCs w:val="24"/>
                <w:lang w:val="en-GB"/>
              </w:rPr>
              <w:t>3</w:t>
            </w:r>
          </w:p>
        </w:tc>
        <w:tc>
          <w:tcPr>
            <w:tcW w:w="3950" w:type="dxa"/>
          </w:tcPr>
          <w:p w14:paraId="42E165B8" w14:textId="74A8AE3D" w:rsidR="001B7B25" w:rsidRPr="001B7B25" w:rsidRDefault="001B7B25" w:rsidP="001B7B25">
            <w:pPr>
              <w:pStyle w:val="a3"/>
              <w:tabs>
                <w:tab w:val="left" w:pos="993"/>
              </w:tabs>
              <w:ind w:left="0"/>
              <w:jc w:val="both"/>
              <w:rPr>
                <w:rFonts w:ascii="Times New Roman" w:hAnsi="Times New Roman" w:cs="Times New Roman"/>
                <w:sz w:val="24"/>
                <w:szCs w:val="24"/>
                <w:lang w:val="fr-FR"/>
              </w:rPr>
            </w:pPr>
            <w:r w:rsidRPr="001B7B25">
              <w:rPr>
                <w:rFonts w:ascii="Times New Roman" w:hAnsi="Times New Roman" w:cs="Times New Roman"/>
                <w:lang w:val="fr-FR"/>
              </w:rPr>
              <w:t>ACQUISITION DE MEUBLES ET D'ÉQUIPEMENTS</w:t>
            </w:r>
          </w:p>
        </w:tc>
        <w:tc>
          <w:tcPr>
            <w:tcW w:w="4394" w:type="dxa"/>
          </w:tcPr>
          <w:p w14:paraId="5C0809E6" w14:textId="77777777" w:rsidR="001B7B25" w:rsidRPr="00BB263F" w:rsidRDefault="001B7B25" w:rsidP="001B7B25">
            <w:pPr>
              <w:pStyle w:val="a3"/>
              <w:tabs>
                <w:tab w:val="left" w:pos="993"/>
              </w:tabs>
              <w:ind w:left="0"/>
              <w:jc w:val="both"/>
              <w:rPr>
                <w:rFonts w:asciiTheme="majorBidi" w:hAnsiTheme="majorBidi" w:cstheme="majorBidi"/>
                <w:sz w:val="24"/>
                <w:szCs w:val="24"/>
                <w:lang w:val="en-GB"/>
              </w:rPr>
            </w:pPr>
            <w:r w:rsidRPr="00EF5D6E">
              <w:rPr>
                <w:rFonts w:asciiTheme="majorBidi" w:hAnsiTheme="majorBidi" w:cstheme="majorBidi"/>
                <w:sz w:val="24"/>
                <w:szCs w:val="24"/>
                <w:lang w:val="en-GB"/>
              </w:rPr>
              <w:t>124979</w:t>
            </w:r>
          </w:p>
        </w:tc>
      </w:tr>
      <w:tr w:rsidR="001B7B25" w14:paraId="7928F4B6" w14:textId="77777777" w:rsidTr="00BB263F">
        <w:tc>
          <w:tcPr>
            <w:tcW w:w="1403" w:type="dxa"/>
          </w:tcPr>
          <w:p w14:paraId="6E11DB23" w14:textId="77777777" w:rsidR="001B7B25" w:rsidRDefault="001B7B25" w:rsidP="001B7B25">
            <w:pPr>
              <w:pStyle w:val="a3"/>
              <w:tabs>
                <w:tab w:val="left" w:pos="993"/>
              </w:tabs>
              <w:ind w:left="0"/>
              <w:jc w:val="both"/>
              <w:rPr>
                <w:rFonts w:asciiTheme="majorBidi" w:hAnsiTheme="majorBidi" w:cstheme="majorBidi"/>
                <w:sz w:val="24"/>
                <w:szCs w:val="24"/>
                <w:lang w:val="en-GB"/>
              </w:rPr>
            </w:pPr>
            <w:r>
              <w:rPr>
                <w:rFonts w:asciiTheme="majorBidi" w:hAnsiTheme="majorBidi" w:cstheme="majorBidi"/>
                <w:sz w:val="24"/>
                <w:szCs w:val="24"/>
                <w:lang w:val="en-GB"/>
              </w:rPr>
              <w:t>4</w:t>
            </w:r>
          </w:p>
        </w:tc>
        <w:tc>
          <w:tcPr>
            <w:tcW w:w="3950" w:type="dxa"/>
          </w:tcPr>
          <w:p w14:paraId="3E10D27D" w14:textId="2A53E259" w:rsidR="001B7B25" w:rsidRPr="001B7B25" w:rsidRDefault="001B7B25" w:rsidP="001B7B25">
            <w:pPr>
              <w:pStyle w:val="a3"/>
              <w:tabs>
                <w:tab w:val="left" w:pos="993"/>
              </w:tabs>
              <w:ind w:left="0"/>
              <w:jc w:val="both"/>
              <w:rPr>
                <w:rFonts w:ascii="Times New Roman" w:hAnsi="Times New Roman" w:cs="Times New Roman"/>
                <w:sz w:val="24"/>
                <w:szCs w:val="24"/>
                <w:lang w:val="en-GB"/>
              </w:rPr>
            </w:pPr>
            <w:r w:rsidRPr="001B7B25">
              <w:rPr>
                <w:rFonts w:ascii="Times New Roman" w:hAnsi="Times New Roman" w:cs="Times New Roman"/>
              </w:rPr>
              <w:t>CONFÉRENCES ET RÉUNIONS</w:t>
            </w:r>
          </w:p>
        </w:tc>
        <w:tc>
          <w:tcPr>
            <w:tcW w:w="4394" w:type="dxa"/>
          </w:tcPr>
          <w:p w14:paraId="2667DA28" w14:textId="77777777" w:rsidR="001B7B25" w:rsidRPr="00BB263F" w:rsidRDefault="001B7B25" w:rsidP="001B7B25">
            <w:pPr>
              <w:pStyle w:val="a3"/>
              <w:tabs>
                <w:tab w:val="left" w:pos="993"/>
              </w:tabs>
              <w:ind w:left="0"/>
              <w:jc w:val="both"/>
              <w:rPr>
                <w:rFonts w:asciiTheme="majorBidi" w:hAnsiTheme="majorBidi" w:cstheme="majorBidi"/>
                <w:sz w:val="24"/>
                <w:szCs w:val="24"/>
                <w:lang w:val="en-GB"/>
              </w:rPr>
            </w:pPr>
            <w:r w:rsidRPr="00EF5D6E">
              <w:rPr>
                <w:rFonts w:asciiTheme="majorBidi" w:hAnsiTheme="majorBidi" w:cstheme="majorBidi"/>
                <w:sz w:val="24"/>
                <w:szCs w:val="24"/>
                <w:lang w:val="en-GB"/>
              </w:rPr>
              <w:t>41600</w:t>
            </w:r>
          </w:p>
        </w:tc>
      </w:tr>
      <w:tr w:rsidR="001B7B25" w14:paraId="64154781" w14:textId="77777777" w:rsidTr="00BB263F">
        <w:tc>
          <w:tcPr>
            <w:tcW w:w="1403" w:type="dxa"/>
          </w:tcPr>
          <w:p w14:paraId="3340F58F" w14:textId="77777777" w:rsidR="001B7B25" w:rsidRDefault="001B7B25" w:rsidP="001B7B25">
            <w:pPr>
              <w:pStyle w:val="a3"/>
              <w:tabs>
                <w:tab w:val="left" w:pos="993"/>
              </w:tabs>
              <w:ind w:left="0"/>
              <w:jc w:val="both"/>
              <w:rPr>
                <w:rFonts w:asciiTheme="majorBidi" w:hAnsiTheme="majorBidi" w:cstheme="majorBidi"/>
                <w:sz w:val="24"/>
                <w:szCs w:val="24"/>
                <w:lang w:val="en-GB"/>
              </w:rPr>
            </w:pPr>
            <w:r>
              <w:rPr>
                <w:rFonts w:asciiTheme="majorBidi" w:hAnsiTheme="majorBidi" w:cstheme="majorBidi"/>
                <w:sz w:val="24"/>
                <w:szCs w:val="24"/>
                <w:lang w:val="en-GB"/>
              </w:rPr>
              <w:t>5</w:t>
            </w:r>
          </w:p>
        </w:tc>
        <w:tc>
          <w:tcPr>
            <w:tcW w:w="3950" w:type="dxa"/>
          </w:tcPr>
          <w:p w14:paraId="5E194A23" w14:textId="1EC0A7E8" w:rsidR="001B7B25" w:rsidRPr="001B7B25" w:rsidRDefault="001B7B25" w:rsidP="001B7B25">
            <w:pPr>
              <w:pStyle w:val="a3"/>
              <w:tabs>
                <w:tab w:val="left" w:pos="993"/>
              </w:tabs>
              <w:ind w:left="0"/>
              <w:jc w:val="both"/>
              <w:rPr>
                <w:rFonts w:ascii="Times New Roman" w:hAnsi="Times New Roman" w:cs="Times New Roman"/>
                <w:sz w:val="24"/>
                <w:szCs w:val="24"/>
                <w:lang w:val="en-GB"/>
              </w:rPr>
            </w:pPr>
            <w:r w:rsidRPr="001B7B25">
              <w:rPr>
                <w:rFonts w:ascii="Times New Roman" w:hAnsi="Times New Roman" w:cs="Times New Roman"/>
              </w:rPr>
              <w:t>PROGRAMME ET ACTIVITÉS</w:t>
            </w:r>
          </w:p>
        </w:tc>
        <w:tc>
          <w:tcPr>
            <w:tcW w:w="4394" w:type="dxa"/>
          </w:tcPr>
          <w:p w14:paraId="0B3DFCBB" w14:textId="77777777" w:rsidR="001B7B25" w:rsidRPr="00BB263F" w:rsidRDefault="001B7B25" w:rsidP="001B7B25">
            <w:pPr>
              <w:pStyle w:val="a3"/>
              <w:tabs>
                <w:tab w:val="left" w:pos="993"/>
              </w:tabs>
              <w:ind w:left="0"/>
              <w:jc w:val="both"/>
              <w:rPr>
                <w:rFonts w:asciiTheme="majorBidi" w:hAnsiTheme="majorBidi" w:cstheme="majorBidi"/>
                <w:sz w:val="24"/>
                <w:szCs w:val="24"/>
                <w:lang w:val="en-GB"/>
              </w:rPr>
            </w:pPr>
            <w:r w:rsidRPr="00EF5D6E">
              <w:rPr>
                <w:rFonts w:asciiTheme="majorBidi" w:hAnsiTheme="majorBidi" w:cstheme="majorBidi"/>
                <w:sz w:val="24"/>
                <w:szCs w:val="24"/>
                <w:lang w:val="en-GB"/>
              </w:rPr>
              <w:t>36473</w:t>
            </w:r>
          </w:p>
        </w:tc>
      </w:tr>
      <w:tr w:rsidR="00EF5D6E" w14:paraId="57D6C6C0" w14:textId="77777777" w:rsidTr="00BB263F">
        <w:tc>
          <w:tcPr>
            <w:tcW w:w="1403" w:type="dxa"/>
          </w:tcPr>
          <w:p w14:paraId="1F651B33" w14:textId="77777777" w:rsidR="00EF5D6E" w:rsidRDefault="00EF5D6E" w:rsidP="00A2457A">
            <w:pPr>
              <w:pStyle w:val="a3"/>
              <w:tabs>
                <w:tab w:val="left" w:pos="993"/>
              </w:tabs>
              <w:ind w:left="0"/>
              <w:jc w:val="both"/>
              <w:rPr>
                <w:rFonts w:asciiTheme="majorBidi" w:hAnsiTheme="majorBidi" w:cstheme="majorBidi"/>
                <w:sz w:val="24"/>
                <w:szCs w:val="24"/>
                <w:lang w:val="en-GB"/>
              </w:rPr>
            </w:pPr>
            <w:r>
              <w:rPr>
                <w:rFonts w:asciiTheme="majorBidi" w:hAnsiTheme="majorBidi" w:cstheme="majorBidi"/>
                <w:sz w:val="24"/>
                <w:szCs w:val="24"/>
                <w:lang w:val="en-GB"/>
              </w:rPr>
              <w:t>6</w:t>
            </w:r>
          </w:p>
        </w:tc>
        <w:tc>
          <w:tcPr>
            <w:tcW w:w="3950" w:type="dxa"/>
          </w:tcPr>
          <w:p w14:paraId="04D12642" w14:textId="77777777" w:rsidR="00EF5D6E" w:rsidRPr="001B7B25" w:rsidRDefault="00EF5D6E" w:rsidP="00507185">
            <w:pPr>
              <w:rPr>
                <w:rFonts w:ascii="Times New Roman" w:hAnsi="Times New Roman" w:cs="Times New Roman"/>
                <w:b/>
                <w:bCs/>
              </w:rPr>
            </w:pPr>
            <w:r w:rsidRPr="001B7B25">
              <w:rPr>
                <w:rFonts w:ascii="Times New Roman" w:hAnsi="Times New Roman" w:cs="Times New Roman"/>
                <w:b/>
                <w:bCs/>
              </w:rPr>
              <w:t>TOTAL</w:t>
            </w:r>
          </w:p>
        </w:tc>
        <w:tc>
          <w:tcPr>
            <w:tcW w:w="4394" w:type="dxa"/>
          </w:tcPr>
          <w:p w14:paraId="66B56454" w14:textId="77777777" w:rsidR="00EF5D6E" w:rsidRPr="00EF5D6E" w:rsidRDefault="00EF5D6E" w:rsidP="00507185">
            <w:pPr>
              <w:rPr>
                <w:rFonts w:asciiTheme="majorBidi" w:hAnsiTheme="majorBidi" w:cstheme="majorBidi"/>
                <w:b/>
                <w:bCs/>
              </w:rPr>
            </w:pPr>
            <w:r w:rsidRPr="00EF5D6E">
              <w:rPr>
                <w:rFonts w:asciiTheme="majorBidi" w:hAnsiTheme="majorBidi" w:cstheme="majorBidi"/>
                <w:b/>
                <w:bCs/>
              </w:rPr>
              <w:t>679688</w:t>
            </w:r>
          </w:p>
        </w:tc>
      </w:tr>
    </w:tbl>
    <w:p w14:paraId="2F3640C7" w14:textId="77777777" w:rsidR="001B7B25" w:rsidRPr="001B7B25" w:rsidRDefault="001B7B25" w:rsidP="001B7B25">
      <w:pPr>
        <w:pStyle w:val="a3"/>
        <w:tabs>
          <w:tab w:val="left" w:pos="993"/>
        </w:tabs>
        <w:spacing w:after="0"/>
        <w:ind w:left="0"/>
        <w:jc w:val="both"/>
        <w:rPr>
          <w:rFonts w:asciiTheme="majorBidi" w:hAnsiTheme="majorBidi" w:cstheme="majorBidi"/>
          <w:sz w:val="24"/>
          <w:szCs w:val="24"/>
          <w:lang w:val="fr-FR"/>
        </w:rPr>
      </w:pPr>
      <w:r w:rsidRPr="001B7B25">
        <w:rPr>
          <w:rFonts w:asciiTheme="majorBidi" w:hAnsiTheme="majorBidi" w:cstheme="majorBidi"/>
          <w:sz w:val="24"/>
          <w:szCs w:val="24"/>
          <w:lang w:val="fr-FR"/>
        </w:rPr>
        <w:t>Le personnel du Secrétariat de l'Organisation est composé de ressortissants des États Membres et est considéré comme du personnel recruté sur le plan international. Pendant toute la durée du mandat, chaque employé doit agir conformément aux buts et objectifs de la Charte de l'Organisation.</w:t>
      </w:r>
    </w:p>
    <w:p w14:paraId="4F5FEFF4" w14:textId="77777777" w:rsidR="001B7B25" w:rsidRPr="001B7B25" w:rsidRDefault="001B7B25" w:rsidP="001B7B25">
      <w:pPr>
        <w:pStyle w:val="a3"/>
        <w:tabs>
          <w:tab w:val="left" w:pos="993"/>
        </w:tabs>
        <w:spacing w:after="0"/>
        <w:ind w:left="0"/>
        <w:jc w:val="both"/>
        <w:rPr>
          <w:rFonts w:asciiTheme="majorBidi" w:hAnsiTheme="majorBidi" w:cstheme="majorBidi"/>
          <w:sz w:val="24"/>
          <w:szCs w:val="24"/>
          <w:lang w:val="fr-FR"/>
        </w:rPr>
      </w:pPr>
      <w:r w:rsidRPr="001B7B25">
        <w:rPr>
          <w:rFonts w:asciiTheme="majorBidi" w:hAnsiTheme="majorBidi" w:cstheme="majorBidi"/>
          <w:sz w:val="24"/>
          <w:szCs w:val="24"/>
          <w:lang w:val="fr-FR"/>
        </w:rPr>
        <w:t>La rémunération du personnel du Secrétariat de l'Organisation est effectuée conformément au Règlement de l'Organisation Islamique pour la Sécurité Alimentaire sur la gestion du personnel conformément à la résolution N° GA/5-2016 du 28 avril 2016, adoptée lors de la Première session de l'Assemblée Générale de l'Organisation Islamique pour la Sécurité Alimentaire, conformément aux postes à pourvoir et aux contrats de travail conclus.</w:t>
      </w:r>
    </w:p>
    <w:p w14:paraId="54A625CC" w14:textId="2E853F6E" w:rsidR="007D581A" w:rsidRPr="001B7B25" w:rsidRDefault="001B7B25" w:rsidP="001B7B25">
      <w:pPr>
        <w:pStyle w:val="a3"/>
        <w:tabs>
          <w:tab w:val="left" w:pos="993"/>
        </w:tabs>
        <w:spacing w:after="0"/>
        <w:ind w:left="0"/>
        <w:jc w:val="both"/>
        <w:rPr>
          <w:rFonts w:asciiTheme="majorBidi" w:hAnsiTheme="majorBidi" w:cstheme="majorBidi"/>
          <w:sz w:val="24"/>
          <w:szCs w:val="24"/>
          <w:lang w:val="fr-FR"/>
        </w:rPr>
      </w:pPr>
      <w:r w:rsidRPr="001B7B25">
        <w:rPr>
          <w:rFonts w:asciiTheme="majorBidi" w:hAnsiTheme="majorBidi" w:cstheme="majorBidi"/>
          <w:sz w:val="24"/>
          <w:szCs w:val="24"/>
          <w:lang w:val="fr-FR"/>
        </w:rPr>
        <w:t>De mai à décembre 2019, le nombre d'employés du Secrétariat de l'Organisation Islamique pour la Sécurité Alimentaire s'élevait à 12 employés, selon le tableau d'effectifs autorisé</w:t>
      </w:r>
      <w:r w:rsidR="007D581A" w:rsidRPr="001B7B25">
        <w:rPr>
          <w:rFonts w:asciiTheme="majorBidi" w:hAnsiTheme="majorBidi" w:cstheme="majorBidi"/>
          <w:sz w:val="24"/>
          <w:szCs w:val="24"/>
          <w:lang w:val="fr-FR"/>
        </w:rPr>
        <w:t>.</w:t>
      </w:r>
    </w:p>
    <w:p w14:paraId="0504EE43" w14:textId="77777777" w:rsidR="00D52059" w:rsidRPr="001B7B25" w:rsidRDefault="00D52059" w:rsidP="00E43943">
      <w:pPr>
        <w:pStyle w:val="a3"/>
        <w:tabs>
          <w:tab w:val="left" w:pos="993"/>
        </w:tabs>
        <w:spacing w:after="0"/>
        <w:ind w:left="0" w:firstLine="709"/>
        <w:jc w:val="both"/>
        <w:rPr>
          <w:rFonts w:asciiTheme="majorBidi" w:hAnsiTheme="majorBidi" w:cstheme="majorBidi"/>
          <w:sz w:val="24"/>
          <w:szCs w:val="24"/>
          <w:lang w:val="fr-FR"/>
        </w:rPr>
      </w:pPr>
    </w:p>
    <w:p w14:paraId="29352A14" w14:textId="7A66B941" w:rsidR="00D52059" w:rsidRPr="001B7B25" w:rsidRDefault="001B7B25" w:rsidP="000702E6">
      <w:pPr>
        <w:pStyle w:val="a3"/>
        <w:tabs>
          <w:tab w:val="left" w:pos="993"/>
        </w:tabs>
        <w:spacing w:after="0"/>
        <w:ind w:left="0" w:firstLine="709"/>
        <w:jc w:val="both"/>
        <w:rPr>
          <w:rFonts w:asciiTheme="majorBidi" w:hAnsiTheme="majorBidi" w:cstheme="majorBidi"/>
          <w:b/>
          <w:bCs/>
          <w:sz w:val="24"/>
          <w:szCs w:val="24"/>
          <w:lang w:val="fr-FR"/>
        </w:rPr>
      </w:pPr>
      <w:r w:rsidRPr="001B7B25">
        <w:rPr>
          <w:rFonts w:asciiTheme="majorBidi" w:hAnsiTheme="majorBidi" w:cstheme="majorBidi"/>
          <w:b/>
          <w:bCs/>
          <w:sz w:val="24"/>
          <w:szCs w:val="24"/>
          <w:lang w:val="fr-FR"/>
        </w:rPr>
        <w:t>Le tableau N° 1 montre que l'article de dépense N° 1 «</w:t>
      </w:r>
      <w:r w:rsidR="00CA460E">
        <w:rPr>
          <w:rFonts w:asciiTheme="majorBidi" w:hAnsiTheme="majorBidi" w:cstheme="majorBidi"/>
          <w:b/>
          <w:bCs/>
          <w:sz w:val="24"/>
          <w:szCs w:val="24"/>
          <w:lang w:val="fr-FR"/>
        </w:rPr>
        <w:t xml:space="preserve"> </w:t>
      </w:r>
      <w:r w:rsidRPr="001B7B25">
        <w:rPr>
          <w:rFonts w:asciiTheme="majorBidi" w:hAnsiTheme="majorBidi" w:cstheme="majorBidi"/>
          <w:b/>
          <w:bCs/>
          <w:sz w:val="24"/>
          <w:szCs w:val="24"/>
          <w:lang w:val="fr-FR"/>
        </w:rPr>
        <w:t>ÉMOLUMENTS DU PERSONNEL</w:t>
      </w:r>
      <w:r w:rsidR="00CA460E">
        <w:rPr>
          <w:rFonts w:asciiTheme="majorBidi" w:hAnsiTheme="majorBidi" w:cstheme="majorBidi"/>
          <w:b/>
          <w:bCs/>
          <w:sz w:val="24"/>
          <w:szCs w:val="24"/>
          <w:lang w:val="fr-FR"/>
        </w:rPr>
        <w:t xml:space="preserve"> </w:t>
      </w:r>
      <w:r w:rsidRPr="001B7B25">
        <w:rPr>
          <w:rFonts w:asciiTheme="majorBidi" w:hAnsiTheme="majorBidi" w:cstheme="majorBidi"/>
          <w:b/>
          <w:bCs/>
          <w:sz w:val="24"/>
          <w:szCs w:val="24"/>
          <w:lang w:val="fr-FR"/>
        </w:rPr>
        <w:t>» s’élève à 303 687 dollars américains.</w:t>
      </w:r>
    </w:p>
    <w:p w14:paraId="779BFB68" w14:textId="77777777" w:rsidR="00872297" w:rsidRPr="001B7B25" w:rsidRDefault="00872297" w:rsidP="00FD4201">
      <w:pPr>
        <w:pStyle w:val="a3"/>
        <w:tabs>
          <w:tab w:val="left" w:pos="993"/>
        </w:tabs>
        <w:spacing w:after="0"/>
        <w:ind w:left="0" w:firstLine="709"/>
        <w:jc w:val="both"/>
        <w:rPr>
          <w:rFonts w:asciiTheme="majorBidi" w:hAnsiTheme="majorBidi" w:cstheme="majorBidi"/>
          <w:b/>
          <w:bCs/>
          <w:sz w:val="24"/>
          <w:szCs w:val="24"/>
          <w:lang w:val="fr-FR"/>
        </w:rPr>
      </w:pPr>
    </w:p>
    <w:tbl>
      <w:tblPr>
        <w:tblStyle w:val="a4"/>
        <w:tblW w:w="9322" w:type="dxa"/>
        <w:tblLook w:val="04A0" w:firstRow="1" w:lastRow="0" w:firstColumn="1" w:lastColumn="0" w:noHBand="0" w:noVBand="1"/>
      </w:tblPr>
      <w:tblGrid>
        <w:gridCol w:w="2093"/>
        <w:gridCol w:w="3827"/>
        <w:gridCol w:w="3402"/>
      </w:tblGrid>
      <w:tr w:rsidR="00180480" w:rsidRPr="00F15FC3" w14:paraId="0910D98D" w14:textId="77777777" w:rsidTr="002A62AA">
        <w:tc>
          <w:tcPr>
            <w:tcW w:w="2093" w:type="dxa"/>
          </w:tcPr>
          <w:p w14:paraId="3608C330" w14:textId="79F28AF7" w:rsidR="00180480" w:rsidRPr="00872297" w:rsidRDefault="00180480" w:rsidP="00180480">
            <w:pPr>
              <w:rPr>
                <w:rFonts w:ascii="Times New Roman" w:hAnsi="Times New Roman" w:cs="Times New Roman"/>
                <w:b/>
                <w:bCs/>
              </w:rPr>
            </w:pPr>
            <w:r w:rsidRPr="006F1AA3">
              <w:rPr>
                <w:rFonts w:asciiTheme="majorBidi" w:hAnsiTheme="majorBidi" w:cstheme="majorBidi"/>
                <w:b/>
                <w:bCs/>
                <w:sz w:val="24"/>
                <w:szCs w:val="24"/>
                <w:lang w:val="en-GB"/>
              </w:rPr>
              <w:t>No.</w:t>
            </w:r>
            <w:r>
              <w:t xml:space="preserve"> </w:t>
            </w:r>
            <w:r w:rsidR="00DE313E">
              <w:rPr>
                <w:rFonts w:asciiTheme="majorBidi" w:hAnsiTheme="majorBidi" w:cstheme="majorBidi"/>
                <w:b/>
                <w:bCs/>
                <w:sz w:val="24"/>
                <w:szCs w:val="24"/>
                <w:lang w:val="en-GB"/>
              </w:rPr>
              <w:t>en</w:t>
            </w:r>
            <w:r w:rsidRPr="001B7B25">
              <w:rPr>
                <w:rFonts w:asciiTheme="majorBidi" w:hAnsiTheme="majorBidi" w:cstheme="majorBidi"/>
                <w:b/>
                <w:bCs/>
                <w:sz w:val="24"/>
                <w:szCs w:val="24"/>
                <w:lang w:val="en-GB"/>
              </w:rPr>
              <w:t xml:space="preserve"> séquence</w:t>
            </w:r>
          </w:p>
        </w:tc>
        <w:tc>
          <w:tcPr>
            <w:tcW w:w="3827" w:type="dxa"/>
          </w:tcPr>
          <w:p w14:paraId="0934CC67" w14:textId="5961649C" w:rsidR="00180480" w:rsidRPr="00872297" w:rsidRDefault="00180480" w:rsidP="00180480">
            <w:pPr>
              <w:rPr>
                <w:rFonts w:ascii="Times New Roman" w:hAnsi="Times New Roman" w:cs="Times New Roman"/>
                <w:b/>
                <w:bCs/>
              </w:rPr>
            </w:pPr>
            <w:r w:rsidRPr="001B7B25">
              <w:rPr>
                <w:rFonts w:asciiTheme="majorBidi" w:hAnsiTheme="majorBidi" w:cstheme="majorBidi"/>
                <w:b/>
                <w:bCs/>
                <w:sz w:val="24"/>
                <w:szCs w:val="24"/>
                <w:lang w:val="en-GB"/>
              </w:rPr>
              <w:t>TITRES</w:t>
            </w:r>
          </w:p>
        </w:tc>
        <w:tc>
          <w:tcPr>
            <w:tcW w:w="3402" w:type="dxa"/>
          </w:tcPr>
          <w:p w14:paraId="4992353A" w14:textId="5D77807F" w:rsidR="00180480" w:rsidRPr="00180480" w:rsidRDefault="00180480" w:rsidP="00180480">
            <w:pPr>
              <w:rPr>
                <w:rFonts w:ascii="Times New Roman" w:hAnsi="Times New Roman" w:cs="Times New Roman"/>
                <w:b/>
                <w:bCs/>
                <w:lang w:val="fr-FR"/>
              </w:rPr>
            </w:pPr>
            <w:r w:rsidRPr="00D5735A">
              <w:rPr>
                <w:rFonts w:asciiTheme="majorBidi" w:hAnsiTheme="majorBidi" w:cstheme="majorBidi"/>
                <w:b/>
                <w:bCs/>
                <w:sz w:val="24"/>
                <w:szCs w:val="24"/>
                <w:lang w:val="fr-FR"/>
              </w:rPr>
              <w:t xml:space="preserve">Dépenses en espèces et bancaires </w:t>
            </w:r>
            <w:r w:rsidRPr="001B7B25">
              <w:rPr>
                <w:rFonts w:asciiTheme="majorBidi" w:hAnsiTheme="majorBidi" w:cstheme="majorBidi"/>
                <w:b/>
                <w:bCs/>
                <w:sz w:val="24"/>
                <w:szCs w:val="24"/>
                <w:lang w:val="fr-FR"/>
              </w:rPr>
              <w:t>(dollar</w:t>
            </w:r>
            <w:r>
              <w:rPr>
                <w:rFonts w:asciiTheme="majorBidi" w:hAnsiTheme="majorBidi" w:cstheme="majorBidi"/>
                <w:b/>
                <w:bCs/>
                <w:sz w:val="24"/>
                <w:szCs w:val="24"/>
                <w:lang w:val="fr-FR"/>
              </w:rPr>
              <w:t>s</w:t>
            </w:r>
            <w:r w:rsidRPr="001B7B25">
              <w:rPr>
                <w:rFonts w:asciiTheme="majorBidi" w:hAnsiTheme="majorBidi" w:cstheme="majorBidi"/>
                <w:b/>
                <w:bCs/>
                <w:sz w:val="24"/>
                <w:szCs w:val="24"/>
                <w:lang w:val="fr-FR"/>
              </w:rPr>
              <w:t xml:space="preserve"> </w:t>
            </w:r>
            <w:r w:rsidR="00893E85" w:rsidRPr="00893E85">
              <w:rPr>
                <w:rFonts w:asciiTheme="majorBidi" w:hAnsiTheme="majorBidi" w:cstheme="majorBidi"/>
                <w:b/>
                <w:bCs/>
                <w:sz w:val="24"/>
                <w:szCs w:val="24"/>
                <w:lang w:val="fr-FR"/>
              </w:rPr>
              <w:t>américains</w:t>
            </w:r>
            <w:r w:rsidRPr="001B7B25">
              <w:rPr>
                <w:rFonts w:asciiTheme="majorBidi" w:hAnsiTheme="majorBidi" w:cstheme="majorBidi"/>
                <w:b/>
                <w:bCs/>
                <w:sz w:val="24"/>
                <w:szCs w:val="24"/>
                <w:lang w:val="fr-FR"/>
              </w:rPr>
              <w:t>)</w:t>
            </w:r>
          </w:p>
        </w:tc>
      </w:tr>
      <w:tr w:rsidR="00180480" w14:paraId="51BF2880" w14:textId="77777777" w:rsidTr="002A62AA">
        <w:tc>
          <w:tcPr>
            <w:tcW w:w="2093" w:type="dxa"/>
          </w:tcPr>
          <w:p w14:paraId="6676A3C7" w14:textId="77777777" w:rsidR="00180480" w:rsidRPr="00136568" w:rsidRDefault="00180480" w:rsidP="00180480">
            <w:pPr>
              <w:rPr>
                <w:rFonts w:asciiTheme="majorBidi" w:hAnsiTheme="majorBidi" w:cstheme="majorBidi"/>
                <w:b/>
                <w:bCs/>
                <w:sz w:val="24"/>
                <w:szCs w:val="24"/>
              </w:rPr>
            </w:pPr>
            <w:r w:rsidRPr="00136568">
              <w:rPr>
                <w:rFonts w:asciiTheme="majorBidi" w:hAnsiTheme="majorBidi" w:cstheme="majorBidi"/>
                <w:b/>
                <w:bCs/>
                <w:sz w:val="24"/>
                <w:szCs w:val="24"/>
              </w:rPr>
              <w:t>1</w:t>
            </w:r>
          </w:p>
        </w:tc>
        <w:tc>
          <w:tcPr>
            <w:tcW w:w="3827" w:type="dxa"/>
          </w:tcPr>
          <w:p w14:paraId="7075F3EA" w14:textId="271BE27E" w:rsidR="00180480" w:rsidRPr="00180480" w:rsidRDefault="00180480" w:rsidP="00180480">
            <w:pPr>
              <w:rPr>
                <w:rFonts w:ascii="Times New Roman" w:hAnsi="Times New Roman" w:cs="Times New Roman"/>
                <w:b/>
                <w:bCs/>
                <w:sz w:val="24"/>
                <w:szCs w:val="24"/>
              </w:rPr>
            </w:pPr>
            <w:r w:rsidRPr="00180480">
              <w:rPr>
                <w:rFonts w:ascii="Times New Roman" w:hAnsi="Times New Roman" w:cs="Times New Roman"/>
                <w:b/>
                <w:bCs/>
              </w:rPr>
              <w:t>Salaires</w:t>
            </w:r>
          </w:p>
        </w:tc>
        <w:tc>
          <w:tcPr>
            <w:tcW w:w="3402" w:type="dxa"/>
          </w:tcPr>
          <w:p w14:paraId="490EA43A" w14:textId="72138CAF" w:rsidR="00180480" w:rsidRPr="002A62AA" w:rsidRDefault="00180480" w:rsidP="00180480">
            <w:pPr>
              <w:rPr>
                <w:rFonts w:asciiTheme="majorBidi" w:hAnsiTheme="majorBidi" w:cstheme="majorBidi"/>
                <w:b/>
                <w:bCs/>
                <w:lang w:val="en-GB"/>
              </w:rPr>
            </w:pPr>
            <w:r w:rsidRPr="00136568">
              <w:rPr>
                <w:rFonts w:asciiTheme="majorBidi" w:hAnsiTheme="majorBidi" w:cstheme="majorBidi"/>
                <w:b/>
                <w:bCs/>
              </w:rPr>
              <w:t>276404</w:t>
            </w:r>
          </w:p>
        </w:tc>
      </w:tr>
      <w:tr w:rsidR="00180480" w14:paraId="447E22BC" w14:textId="77777777" w:rsidTr="002A62AA">
        <w:tc>
          <w:tcPr>
            <w:tcW w:w="2093" w:type="dxa"/>
          </w:tcPr>
          <w:p w14:paraId="2D8191C4" w14:textId="77777777" w:rsidR="00180480" w:rsidRPr="00136568" w:rsidRDefault="00180480" w:rsidP="00180480">
            <w:pPr>
              <w:rPr>
                <w:rFonts w:asciiTheme="majorBidi" w:hAnsiTheme="majorBidi" w:cstheme="majorBidi"/>
                <w:b/>
                <w:bCs/>
                <w:sz w:val="24"/>
                <w:szCs w:val="24"/>
              </w:rPr>
            </w:pPr>
            <w:r w:rsidRPr="00136568">
              <w:rPr>
                <w:rFonts w:asciiTheme="majorBidi" w:hAnsiTheme="majorBidi" w:cstheme="majorBidi"/>
                <w:b/>
                <w:bCs/>
                <w:sz w:val="24"/>
                <w:szCs w:val="24"/>
              </w:rPr>
              <w:t>2</w:t>
            </w:r>
          </w:p>
        </w:tc>
        <w:tc>
          <w:tcPr>
            <w:tcW w:w="3827" w:type="dxa"/>
          </w:tcPr>
          <w:p w14:paraId="5EC1C8D2" w14:textId="11AAB68D" w:rsidR="00180480" w:rsidRPr="00180480" w:rsidRDefault="00180480" w:rsidP="00180480">
            <w:pPr>
              <w:rPr>
                <w:rFonts w:ascii="Times New Roman" w:hAnsi="Times New Roman" w:cs="Times New Roman"/>
                <w:b/>
                <w:bCs/>
                <w:sz w:val="24"/>
                <w:szCs w:val="24"/>
              </w:rPr>
            </w:pPr>
            <w:r w:rsidRPr="00180480">
              <w:rPr>
                <w:rFonts w:ascii="Times New Roman" w:hAnsi="Times New Roman" w:cs="Times New Roman"/>
                <w:b/>
                <w:bCs/>
              </w:rPr>
              <w:t>Allocations</w:t>
            </w:r>
          </w:p>
        </w:tc>
        <w:tc>
          <w:tcPr>
            <w:tcW w:w="3402" w:type="dxa"/>
          </w:tcPr>
          <w:p w14:paraId="3CD7F927" w14:textId="73090A29" w:rsidR="00180480" w:rsidRPr="002A62AA" w:rsidRDefault="00180480" w:rsidP="00180480">
            <w:pPr>
              <w:rPr>
                <w:rFonts w:asciiTheme="majorBidi" w:hAnsiTheme="majorBidi" w:cstheme="majorBidi"/>
                <w:b/>
                <w:bCs/>
                <w:lang w:val="en-GB"/>
              </w:rPr>
            </w:pPr>
            <w:r w:rsidRPr="00136568">
              <w:rPr>
                <w:rFonts w:asciiTheme="majorBidi" w:hAnsiTheme="majorBidi" w:cstheme="majorBidi"/>
                <w:b/>
                <w:bCs/>
              </w:rPr>
              <w:t>17743</w:t>
            </w:r>
          </w:p>
        </w:tc>
      </w:tr>
      <w:tr w:rsidR="00180480" w14:paraId="5162A430" w14:textId="77777777" w:rsidTr="002A62AA">
        <w:tc>
          <w:tcPr>
            <w:tcW w:w="2093" w:type="dxa"/>
          </w:tcPr>
          <w:p w14:paraId="360770C5" w14:textId="77777777" w:rsidR="00180480" w:rsidRPr="00136568" w:rsidRDefault="00180480" w:rsidP="00180480">
            <w:pPr>
              <w:rPr>
                <w:rFonts w:asciiTheme="majorBidi" w:hAnsiTheme="majorBidi" w:cstheme="majorBidi"/>
                <w:sz w:val="24"/>
                <w:szCs w:val="24"/>
              </w:rPr>
            </w:pPr>
            <w:r w:rsidRPr="00136568">
              <w:rPr>
                <w:rFonts w:asciiTheme="majorBidi" w:hAnsiTheme="majorBidi" w:cstheme="majorBidi"/>
                <w:sz w:val="24"/>
                <w:szCs w:val="24"/>
              </w:rPr>
              <w:t>2.1</w:t>
            </w:r>
          </w:p>
        </w:tc>
        <w:tc>
          <w:tcPr>
            <w:tcW w:w="3827" w:type="dxa"/>
          </w:tcPr>
          <w:p w14:paraId="567E13AD" w14:textId="2D001252" w:rsidR="00180480" w:rsidRPr="00180480" w:rsidRDefault="00180480" w:rsidP="00180480">
            <w:pPr>
              <w:rPr>
                <w:rFonts w:ascii="Times New Roman" w:hAnsi="Times New Roman" w:cs="Times New Roman"/>
                <w:sz w:val="24"/>
                <w:szCs w:val="24"/>
              </w:rPr>
            </w:pPr>
            <w:r w:rsidRPr="00180480">
              <w:rPr>
                <w:rFonts w:ascii="Times New Roman" w:hAnsi="Times New Roman" w:cs="Times New Roman"/>
              </w:rPr>
              <w:t>Logement</w:t>
            </w:r>
          </w:p>
        </w:tc>
        <w:tc>
          <w:tcPr>
            <w:tcW w:w="3402" w:type="dxa"/>
          </w:tcPr>
          <w:p w14:paraId="6474014C" w14:textId="3CD7B903" w:rsidR="00180480" w:rsidRPr="002A62AA" w:rsidRDefault="00180480" w:rsidP="00180480">
            <w:pPr>
              <w:rPr>
                <w:rFonts w:asciiTheme="majorBidi" w:hAnsiTheme="majorBidi" w:cstheme="majorBidi"/>
                <w:lang w:val="en-GB"/>
              </w:rPr>
            </w:pPr>
            <w:r w:rsidRPr="00136568">
              <w:rPr>
                <w:rFonts w:asciiTheme="majorBidi" w:hAnsiTheme="majorBidi" w:cstheme="majorBidi"/>
              </w:rPr>
              <w:t>17743</w:t>
            </w:r>
          </w:p>
        </w:tc>
      </w:tr>
      <w:tr w:rsidR="00180480" w14:paraId="10297650" w14:textId="77777777" w:rsidTr="002A62AA">
        <w:tc>
          <w:tcPr>
            <w:tcW w:w="2093" w:type="dxa"/>
          </w:tcPr>
          <w:p w14:paraId="5041AEA3" w14:textId="77777777" w:rsidR="00180480" w:rsidRPr="002A62AA" w:rsidRDefault="00180480" w:rsidP="00180480">
            <w:pPr>
              <w:rPr>
                <w:rFonts w:asciiTheme="majorBidi" w:hAnsiTheme="majorBidi" w:cstheme="majorBidi"/>
                <w:b/>
                <w:bCs/>
                <w:sz w:val="24"/>
                <w:szCs w:val="24"/>
              </w:rPr>
            </w:pPr>
            <w:r w:rsidRPr="002A62AA">
              <w:rPr>
                <w:rFonts w:asciiTheme="majorBidi" w:hAnsiTheme="majorBidi" w:cstheme="majorBidi"/>
                <w:b/>
                <w:bCs/>
                <w:sz w:val="24"/>
                <w:szCs w:val="24"/>
              </w:rPr>
              <w:t>3</w:t>
            </w:r>
          </w:p>
        </w:tc>
        <w:tc>
          <w:tcPr>
            <w:tcW w:w="3827" w:type="dxa"/>
          </w:tcPr>
          <w:p w14:paraId="02D57DF5" w14:textId="7ECB0B6A" w:rsidR="00180480" w:rsidRPr="00180480" w:rsidRDefault="00180480" w:rsidP="00180480">
            <w:pPr>
              <w:rPr>
                <w:rFonts w:ascii="Times New Roman" w:hAnsi="Times New Roman" w:cs="Times New Roman"/>
                <w:b/>
                <w:bCs/>
                <w:sz w:val="24"/>
                <w:szCs w:val="24"/>
              </w:rPr>
            </w:pPr>
            <w:r w:rsidRPr="00180480">
              <w:rPr>
                <w:rFonts w:ascii="Times New Roman" w:hAnsi="Times New Roman" w:cs="Times New Roman"/>
                <w:b/>
                <w:bCs/>
              </w:rPr>
              <w:t>Autre émolument</w:t>
            </w:r>
          </w:p>
        </w:tc>
        <w:tc>
          <w:tcPr>
            <w:tcW w:w="3402" w:type="dxa"/>
          </w:tcPr>
          <w:p w14:paraId="6B86098E" w14:textId="4C045A30" w:rsidR="00180480" w:rsidRPr="002A62AA" w:rsidRDefault="00180480" w:rsidP="00180480">
            <w:pPr>
              <w:rPr>
                <w:rFonts w:asciiTheme="majorBidi" w:hAnsiTheme="majorBidi" w:cstheme="majorBidi"/>
                <w:b/>
                <w:bCs/>
                <w:lang w:val="en-GB"/>
              </w:rPr>
            </w:pPr>
            <w:r w:rsidRPr="002A62AA">
              <w:rPr>
                <w:rFonts w:asciiTheme="majorBidi" w:hAnsiTheme="majorBidi" w:cstheme="majorBidi"/>
                <w:b/>
                <w:bCs/>
              </w:rPr>
              <w:t>9</w:t>
            </w:r>
            <w:r w:rsidR="00F15FC3">
              <w:rPr>
                <w:rFonts w:asciiTheme="majorBidi" w:hAnsiTheme="majorBidi" w:cstheme="majorBidi"/>
                <w:b/>
                <w:bCs/>
                <w:lang w:val="en-US"/>
              </w:rPr>
              <w:t>54</w:t>
            </w:r>
            <w:r w:rsidRPr="002A62AA">
              <w:rPr>
                <w:rFonts w:asciiTheme="majorBidi" w:hAnsiTheme="majorBidi" w:cstheme="majorBidi"/>
                <w:b/>
                <w:bCs/>
              </w:rPr>
              <w:t>0</w:t>
            </w:r>
          </w:p>
        </w:tc>
      </w:tr>
      <w:tr w:rsidR="00180480" w14:paraId="0150F353" w14:textId="77777777" w:rsidTr="002A62AA">
        <w:tc>
          <w:tcPr>
            <w:tcW w:w="2093" w:type="dxa"/>
          </w:tcPr>
          <w:p w14:paraId="21AC99EE" w14:textId="77777777" w:rsidR="00180480" w:rsidRPr="00136568" w:rsidRDefault="00180480" w:rsidP="00180480">
            <w:pPr>
              <w:rPr>
                <w:rFonts w:asciiTheme="majorBidi" w:hAnsiTheme="majorBidi" w:cstheme="majorBidi"/>
                <w:sz w:val="24"/>
                <w:szCs w:val="24"/>
              </w:rPr>
            </w:pPr>
            <w:r w:rsidRPr="00136568">
              <w:rPr>
                <w:rFonts w:asciiTheme="majorBidi" w:hAnsiTheme="majorBidi" w:cstheme="majorBidi"/>
                <w:sz w:val="24"/>
                <w:szCs w:val="24"/>
              </w:rPr>
              <w:t>3.1</w:t>
            </w:r>
          </w:p>
        </w:tc>
        <w:tc>
          <w:tcPr>
            <w:tcW w:w="3827" w:type="dxa"/>
          </w:tcPr>
          <w:p w14:paraId="759A0225" w14:textId="68E7C769" w:rsidR="00180480" w:rsidRPr="00180480" w:rsidRDefault="00180480" w:rsidP="00180480">
            <w:pPr>
              <w:rPr>
                <w:rFonts w:ascii="Times New Roman" w:hAnsi="Times New Roman" w:cs="Times New Roman"/>
                <w:i/>
                <w:iCs/>
                <w:sz w:val="24"/>
                <w:szCs w:val="24"/>
                <w:lang w:val="fr-FR"/>
              </w:rPr>
            </w:pPr>
            <w:r w:rsidRPr="00180480">
              <w:rPr>
                <w:rFonts w:ascii="Times New Roman" w:hAnsi="Times New Roman" w:cs="Times New Roman"/>
                <w:i/>
                <w:iCs/>
                <w:lang w:val="fr-FR"/>
              </w:rPr>
              <w:t>Soins de santé (assurances médicales)</w:t>
            </w:r>
          </w:p>
        </w:tc>
        <w:tc>
          <w:tcPr>
            <w:tcW w:w="3402" w:type="dxa"/>
          </w:tcPr>
          <w:p w14:paraId="36F57331" w14:textId="5C71B7D9" w:rsidR="00180480" w:rsidRPr="002A62AA" w:rsidRDefault="00180480" w:rsidP="00180480">
            <w:pPr>
              <w:rPr>
                <w:rFonts w:asciiTheme="majorBidi" w:hAnsiTheme="majorBidi" w:cstheme="majorBidi"/>
                <w:lang w:val="en-GB"/>
              </w:rPr>
            </w:pPr>
            <w:r w:rsidRPr="002A62AA">
              <w:rPr>
                <w:rFonts w:asciiTheme="majorBidi" w:hAnsiTheme="majorBidi" w:cstheme="majorBidi"/>
              </w:rPr>
              <w:t>9</w:t>
            </w:r>
            <w:r w:rsidR="00F15FC3">
              <w:rPr>
                <w:rFonts w:asciiTheme="majorBidi" w:hAnsiTheme="majorBidi" w:cstheme="majorBidi"/>
                <w:lang w:val="en-US"/>
              </w:rPr>
              <w:t>54</w:t>
            </w:r>
            <w:r w:rsidRPr="002A62AA">
              <w:rPr>
                <w:rFonts w:asciiTheme="majorBidi" w:hAnsiTheme="majorBidi" w:cstheme="majorBidi"/>
              </w:rPr>
              <w:t>0</w:t>
            </w:r>
          </w:p>
        </w:tc>
      </w:tr>
      <w:tr w:rsidR="00180480" w14:paraId="3916C994" w14:textId="77777777" w:rsidTr="002A62AA">
        <w:tc>
          <w:tcPr>
            <w:tcW w:w="2093" w:type="dxa"/>
          </w:tcPr>
          <w:p w14:paraId="1993666F" w14:textId="77777777" w:rsidR="00180480" w:rsidRPr="00872297" w:rsidRDefault="00180480" w:rsidP="00180480">
            <w:pPr>
              <w:rPr>
                <w:rFonts w:ascii="Times New Roman" w:hAnsi="Times New Roman" w:cs="Times New Roman"/>
                <w:b/>
                <w:bCs/>
              </w:rPr>
            </w:pPr>
          </w:p>
        </w:tc>
        <w:tc>
          <w:tcPr>
            <w:tcW w:w="3827" w:type="dxa"/>
          </w:tcPr>
          <w:p w14:paraId="46CD7B67" w14:textId="2D55D322" w:rsidR="00180480" w:rsidRPr="00180480" w:rsidRDefault="00180480" w:rsidP="00180480">
            <w:pPr>
              <w:rPr>
                <w:rFonts w:ascii="Times New Roman" w:hAnsi="Times New Roman" w:cs="Times New Roman"/>
                <w:b/>
                <w:bCs/>
              </w:rPr>
            </w:pPr>
            <w:r w:rsidRPr="00180480">
              <w:rPr>
                <w:rFonts w:ascii="Times New Roman" w:hAnsi="Times New Roman" w:cs="Times New Roman"/>
              </w:rPr>
              <w:t>TOTAL</w:t>
            </w:r>
          </w:p>
        </w:tc>
        <w:tc>
          <w:tcPr>
            <w:tcW w:w="3402" w:type="dxa"/>
          </w:tcPr>
          <w:p w14:paraId="540403E8" w14:textId="77777777" w:rsidR="00180480" w:rsidRPr="002A62AA" w:rsidRDefault="00180480" w:rsidP="00180480">
            <w:pPr>
              <w:rPr>
                <w:rFonts w:asciiTheme="majorBidi" w:hAnsiTheme="majorBidi" w:cstheme="majorBidi"/>
                <w:b/>
                <w:bCs/>
              </w:rPr>
            </w:pPr>
            <w:r w:rsidRPr="002A62AA">
              <w:rPr>
                <w:rFonts w:asciiTheme="majorBidi" w:hAnsiTheme="majorBidi" w:cstheme="majorBidi"/>
                <w:b/>
                <w:bCs/>
              </w:rPr>
              <w:t>303687</w:t>
            </w:r>
          </w:p>
        </w:tc>
      </w:tr>
    </w:tbl>
    <w:p w14:paraId="3A3FF4A1" w14:textId="77777777" w:rsidR="00872297" w:rsidRDefault="00872297" w:rsidP="00FD4201">
      <w:pPr>
        <w:pStyle w:val="a3"/>
        <w:tabs>
          <w:tab w:val="left" w:pos="993"/>
        </w:tabs>
        <w:spacing w:after="0"/>
        <w:ind w:left="0" w:firstLine="709"/>
        <w:jc w:val="both"/>
        <w:rPr>
          <w:rFonts w:asciiTheme="majorBidi" w:hAnsiTheme="majorBidi" w:cstheme="majorBidi"/>
          <w:b/>
          <w:bCs/>
          <w:sz w:val="24"/>
          <w:szCs w:val="24"/>
          <w:lang w:val="en-GB"/>
        </w:rPr>
      </w:pPr>
    </w:p>
    <w:p w14:paraId="53526237" w14:textId="77777777" w:rsidR="00180480" w:rsidRPr="00180480" w:rsidRDefault="00180480" w:rsidP="00DE313E">
      <w:pPr>
        <w:pStyle w:val="a3"/>
        <w:tabs>
          <w:tab w:val="left" w:pos="426"/>
        </w:tabs>
        <w:spacing w:after="0"/>
        <w:ind w:left="0"/>
        <w:jc w:val="both"/>
        <w:rPr>
          <w:rFonts w:asciiTheme="majorBidi" w:hAnsiTheme="majorBidi" w:cstheme="majorBidi"/>
          <w:sz w:val="24"/>
          <w:szCs w:val="24"/>
          <w:lang w:val="fr-FR"/>
        </w:rPr>
      </w:pPr>
      <w:r w:rsidRPr="00180480">
        <w:rPr>
          <w:rFonts w:asciiTheme="majorBidi" w:hAnsiTheme="majorBidi" w:cstheme="majorBidi"/>
          <w:sz w:val="24"/>
          <w:szCs w:val="24"/>
          <w:lang w:val="fr-FR"/>
        </w:rPr>
        <w:lastRenderedPageBreak/>
        <w:t>L'Organisation islamique pour la Sécurité Alimentaire distribue de manière indépendante le total des fonds salariaux par mois. Le fonds d'indemnisation du travail accumulé pour les fonctionnaires de l'Organisation qui ne sont pas citoyens de la République du Kazakhstan sont exonérés de l'impôt sur les salaires, tandis que le budget des salaires accumulés pour le personnel de l'Organisation, qui est citoyen du Kazakhstan, est soumis à tous les impôts conformément à les lois et règlements du Kazakhstan en matière de législation du travail, à l'exception de l'impôt sur le revenu des particuliers.</w:t>
      </w:r>
    </w:p>
    <w:p w14:paraId="1A8ECB26" w14:textId="19A4D597" w:rsidR="00180480" w:rsidRPr="00DE313E" w:rsidRDefault="00180480" w:rsidP="00DE313E">
      <w:pPr>
        <w:pStyle w:val="a3"/>
        <w:tabs>
          <w:tab w:val="left" w:pos="426"/>
        </w:tabs>
        <w:spacing w:after="0"/>
        <w:ind w:left="0"/>
        <w:jc w:val="both"/>
        <w:rPr>
          <w:rFonts w:asciiTheme="majorBidi" w:hAnsiTheme="majorBidi" w:cstheme="majorBidi"/>
          <w:b/>
          <w:bCs/>
          <w:sz w:val="24"/>
          <w:szCs w:val="24"/>
          <w:lang w:val="fr-FR"/>
        </w:rPr>
      </w:pPr>
      <w:r w:rsidRPr="00DE313E">
        <w:rPr>
          <w:rFonts w:asciiTheme="majorBidi" w:hAnsiTheme="majorBidi" w:cstheme="majorBidi"/>
          <w:b/>
          <w:bCs/>
          <w:sz w:val="24"/>
          <w:szCs w:val="24"/>
          <w:lang w:val="fr-FR"/>
        </w:rPr>
        <w:t>En 2019, les employés ont fixé une forme de rémunération comme salaire officiel et le paiement a été effectué pour un montant de 276404 dollars américains, y compris</w:t>
      </w:r>
      <w:r w:rsidR="00DE313E">
        <w:rPr>
          <w:rFonts w:asciiTheme="majorBidi" w:hAnsiTheme="majorBidi" w:cstheme="majorBidi"/>
          <w:b/>
          <w:bCs/>
          <w:sz w:val="24"/>
          <w:szCs w:val="24"/>
          <w:lang w:val="fr-FR"/>
        </w:rPr>
        <w:t xml:space="preserve"> </w:t>
      </w:r>
      <w:r w:rsidRPr="00DE313E">
        <w:rPr>
          <w:rFonts w:asciiTheme="majorBidi" w:hAnsiTheme="majorBidi" w:cstheme="majorBidi"/>
          <w:b/>
          <w:bCs/>
          <w:sz w:val="24"/>
          <w:szCs w:val="24"/>
          <w:lang w:val="fr-FR"/>
        </w:rPr>
        <w:t>:</w:t>
      </w:r>
    </w:p>
    <w:p w14:paraId="73142B3F" w14:textId="77777777" w:rsidR="00180480" w:rsidRPr="00180480" w:rsidRDefault="00180480" w:rsidP="00DE313E">
      <w:pPr>
        <w:pStyle w:val="a3"/>
        <w:tabs>
          <w:tab w:val="left" w:pos="426"/>
        </w:tabs>
        <w:spacing w:after="0"/>
        <w:ind w:left="0" w:firstLine="567"/>
        <w:jc w:val="both"/>
        <w:rPr>
          <w:rFonts w:asciiTheme="majorBidi" w:hAnsiTheme="majorBidi" w:cstheme="majorBidi"/>
          <w:sz w:val="24"/>
          <w:szCs w:val="24"/>
          <w:lang w:val="fr-FR"/>
        </w:rPr>
      </w:pPr>
      <w:r w:rsidRPr="00180480">
        <w:rPr>
          <w:rFonts w:asciiTheme="majorBidi" w:hAnsiTheme="majorBidi" w:cstheme="majorBidi"/>
          <w:sz w:val="24"/>
          <w:szCs w:val="24"/>
          <w:lang w:val="fr-FR"/>
        </w:rPr>
        <w:t>- pour la période de direction de M. Zhalmukhanov (janvier-avril 2019), le budget salarial de 98136 dollars dex E-U. a été versé,</w:t>
      </w:r>
    </w:p>
    <w:p w14:paraId="67CC03CC" w14:textId="77777777" w:rsidR="00180480" w:rsidRPr="00180480" w:rsidRDefault="00180480" w:rsidP="00DE313E">
      <w:pPr>
        <w:pStyle w:val="a3"/>
        <w:tabs>
          <w:tab w:val="left" w:pos="426"/>
        </w:tabs>
        <w:spacing w:after="0"/>
        <w:ind w:left="0" w:firstLine="567"/>
        <w:jc w:val="both"/>
        <w:rPr>
          <w:rFonts w:asciiTheme="majorBidi" w:hAnsiTheme="majorBidi" w:cstheme="majorBidi"/>
          <w:sz w:val="24"/>
          <w:szCs w:val="24"/>
          <w:lang w:val="fr-FR"/>
        </w:rPr>
      </w:pPr>
      <w:r w:rsidRPr="00180480">
        <w:rPr>
          <w:rFonts w:asciiTheme="majorBidi" w:hAnsiTheme="majorBidi" w:cstheme="majorBidi"/>
          <w:sz w:val="24"/>
          <w:szCs w:val="24"/>
          <w:lang w:val="fr-FR"/>
        </w:rPr>
        <w:t xml:space="preserve">- pour la période (mai-décembre 2019), un budget salarial de 178268 dollars des E-U. a été payé, y compris sous forme d'impôts et de cotisations sociales conformément à la législation locale du travail pour les employés-citoyens de la République du Kazakhstan </w:t>
      </w:r>
      <w:r w:rsidRPr="00DE313E">
        <w:rPr>
          <w:rFonts w:asciiTheme="majorBidi" w:hAnsiTheme="majorBidi" w:cstheme="majorBidi"/>
          <w:color w:val="FF0000"/>
          <w:sz w:val="24"/>
          <w:szCs w:val="24"/>
          <w:lang w:val="fr-FR"/>
        </w:rPr>
        <w:t>pour un montant de 21 045 dollars américains</w:t>
      </w:r>
      <w:r w:rsidRPr="00180480">
        <w:rPr>
          <w:rFonts w:asciiTheme="majorBidi" w:hAnsiTheme="majorBidi" w:cstheme="majorBidi"/>
          <w:sz w:val="24"/>
          <w:szCs w:val="24"/>
          <w:lang w:val="fr-FR"/>
        </w:rPr>
        <w:t>.</w:t>
      </w:r>
    </w:p>
    <w:p w14:paraId="18BAA950" w14:textId="77777777" w:rsidR="00180480" w:rsidRPr="00DE313E" w:rsidRDefault="00180480" w:rsidP="00DE313E">
      <w:pPr>
        <w:pStyle w:val="a3"/>
        <w:tabs>
          <w:tab w:val="left" w:pos="426"/>
        </w:tabs>
        <w:spacing w:after="0"/>
        <w:ind w:left="0"/>
        <w:jc w:val="both"/>
        <w:rPr>
          <w:rFonts w:asciiTheme="majorBidi" w:hAnsiTheme="majorBidi" w:cstheme="majorBidi"/>
          <w:b/>
          <w:bCs/>
          <w:sz w:val="24"/>
          <w:szCs w:val="24"/>
          <w:lang w:val="fr-FR"/>
        </w:rPr>
      </w:pPr>
      <w:r w:rsidRPr="00DE313E">
        <w:rPr>
          <w:rFonts w:asciiTheme="majorBidi" w:hAnsiTheme="majorBidi" w:cstheme="majorBidi"/>
          <w:b/>
          <w:bCs/>
          <w:sz w:val="24"/>
          <w:szCs w:val="24"/>
          <w:lang w:val="fr-FR"/>
        </w:rPr>
        <w:t>Sur la liste des prestations sociales, le paiement a été effectué uniquement pour l'allocation de logement des employés de l'OISA (sans logement occupé par le propriétaire) d'un montant de 17 743 dollars américains.</w:t>
      </w:r>
    </w:p>
    <w:p w14:paraId="1CE901F5" w14:textId="00766B64" w:rsidR="00D60EE5" w:rsidRPr="00180480" w:rsidRDefault="00180480" w:rsidP="00180480">
      <w:pPr>
        <w:pStyle w:val="a3"/>
        <w:tabs>
          <w:tab w:val="left" w:pos="426"/>
        </w:tabs>
        <w:spacing w:after="0"/>
        <w:ind w:left="0"/>
        <w:jc w:val="both"/>
        <w:rPr>
          <w:rFonts w:asciiTheme="majorBidi" w:hAnsiTheme="majorBidi" w:cstheme="majorBidi"/>
          <w:b/>
          <w:bCs/>
          <w:sz w:val="24"/>
          <w:szCs w:val="24"/>
          <w:lang w:val="fr-FR"/>
        </w:rPr>
      </w:pPr>
      <w:r w:rsidRPr="00180480">
        <w:rPr>
          <w:rFonts w:asciiTheme="majorBidi" w:hAnsiTheme="majorBidi" w:cstheme="majorBidi"/>
          <w:sz w:val="24"/>
          <w:szCs w:val="24"/>
          <w:lang w:val="fr-FR"/>
        </w:rPr>
        <w:t xml:space="preserve">L'OISA paie l'assistance médicale aux employés et aux membres de leur famille par le biais d'une compagnie d'assurance sélectionnée par appel d'offres ouvert. </w:t>
      </w:r>
      <w:r w:rsidRPr="00DE313E">
        <w:rPr>
          <w:rFonts w:asciiTheme="majorBidi" w:hAnsiTheme="majorBidi" w:cstheme="majorBidi"/>
          <w:b/>
          <w:bCs/>
          <w:sz w:val="24"/>
          <w:szCs w:val="24"/>
          <w:lang w:val="fr-FR"/>
        </w:rPr>
        <w:t xml:space="preserve">Au cours de la période considérée, le paiement de l'assurance médicale s'est élevé à 9 </w:t>
      </w:r>
      <w:r w:rsidR="00F15FC3">
        <w:rPr>
          <w:rFonts w:asciiTheme="majorBidi" w:hAnsiTheme="majorBidi" w:cstheme="majorBidi"/>
          <w:b/>
          <w:bCs/>
          <w:sz w:val="24"/>
          <w:szCs w:val="24"/>
          <w:lang w:val="fr-FR"/>
        </w:rPr>
        <w:t>54</w:t>
      </w:r>
      <w:r w:rsidRPr="00DE313E">
        <w:rPr>
          <w:rFonts w:asciiTheme="majorBidi" w:hAnsiTheme="majorBidi" w:cstheme="majorBidi"/>
          <w:b/>
          <w:bCs/>
          <w:sz w:val="24"/>
          <w:szCs w:val="24"/>
          <w:lang w:val="fr-FR"/>
        </w:rPr>
        <w:t>0 dollars des E-U</w:t>
      </w:r>
      <w:r w:rsidR="00D60EE5" w:rsidRPr="00180480">
        <w:rPr>
          <w:rFonts w:asciiTheme="majorBidi" w:hAnsiTheme="majorBidi" w:cstheme="majorBidi"/>
          <w:b/>
          <w:bCs/>
          <w:sz w:val="24"/>
          <w:szCs w:val="24"/>
          <w:lang w:val="fr-FR"/>
        </w:rPr>
        <w:t>.</w:t>
      </w:r>
    </w:p>
    <w:p w14:paraId="31FCE3BB" w14:textId="77777777" w:rsidR="00AC040D" w:rsidRPr="00180480" w:rsidRDefault="00AC040D" w:rsidP="006821D9">
      <w:pPr>
        <w:pStyle w:val="a3"/>
        <w:tabs>
          <w:tab w:val="left" w:pos="426"/>
        </w:tabs>
        <w:spacing w:after="0"/>
        <w:ind w:left="0" w:firstLine="720"/>
        <w:jc w:val="both"/>
        <w:rPr>
          <w:rFonts w:asciiTheme="majorBidi" w:hAnsiTheme="majorBidi" w:cstheme="majorBidi"/>
          <w:b/>
          <w:bCs/>
          <w:sz w:val="24"/>
          <w:szCs w:val="24"/>
          <w:lang w:val="fr-FR"/>
        </w:rPr>
      </w:pPr>
    </w:p>
    <w:p w14:paraId="4DB93A99" w14:textId="4E8A752A" w:rsidR="00D60EE5" w:rsidRPr="00DE313E" w:rsidRDefault="00DE313E" w:rsidP="00AC040D">
      <w:pPr>
        <w:pStyle w:val="a3"/>
        <w:tabs>
          <w:tab w:val="left" w:pos="426"/>
          <w:tab w:val="left" w:pos="993"/>
        </w:tabs>
        <w:spacing w:after="0"/>
        <w:ind w:left="0"/>
        <w:jc w:val="both"/>
        <w:rPr>
          <w:rFonts w:asciiTheme="majorBidi" w:hAnsiTheme="majorBidi" w:cstheme="majorBidi"/>
          <w:b/>
          <w:bCs/>
          <w:sz w:val="24"/>
          <w:szCs w:val="24"/>
          <w:lang w:val="fr-FR"/>
        </w:rPr>
      </w:pPr>
      <w:r w:rsidRPr="00DE313E">
        <w:rPr>
          <w:rFonts w:asciiTheme="majorBidi" w:hAnsiTheme="majorBidi" w:cstheme="majorBidi"/>
          <w:b/>
          <w:bCs/>
          <w:sz w:val="24"/>
          <w:szCs w:val="24"/>
          <w:lang w:val="fr-FR"/>
        </w:rPr>
        <w:t>Le tableau N° 1 montre que l'article de dépenses N° 2 «</w:t>
      </w:r>
      <w:r w:rsidR="00CA460E">
        <w:rPr>
          <w:rFonts w:asciiTheme="majorBidi" w:hAnsiTheme="majorBidi" w:cstheme="majorBidi"/>
          <w:b/>
          <w:bCs/>
          <w:sz w:val="24"/>
          <w:szCs w:val="24"/>
          <w:lang w:val="fr-FR"/>
        </w:rPr>
        <w:t xml:space="preserve"> </w:t>
      </w:r>
      <w:r w:rsidRPr="00DE313E">
        <w:rPr>
          <w:rFonts w:asciiTheme="majorBidi" w:hAnsiTheme="majorBidi" w:cstheme="majorBidi"/>
          <w:b/>
          <w:bCs/>
          <w:sz w:val="24"/>
          <w:szCs w:val="24"/>
          <w:lang w:val="fr-FR"/>
        </w:rPr>
        <w:t>DÉPENSES RÉCURRENTES</w:t>
      </w:r>
      <w:r w:rsidR="00CA460E">
        <w:rPr>
          <w:rFonts w:asciiTheme="majorBidi" w:hAnsiTheme="majorBidi" w:cstheme="majorBidi"/>
          <w:b/>
          <w:bCs/>
          <w:sz w:val="24"/>
          <w:szCs w:val="24"/>
          <w:lang w:val="fr-FR"/>
        </w:rPr>
        <w:t xml:space="preserve"> </w:t>
      </w:r>
      <w:r w:rsidRPr="00DE313E">
        <w:rPr>
          <w:rFonts w:asciiTheme="majorBidi" w:hAnsiTheme="majorBidi" w:cstheme="majorBidi"/>
          <w:b/>
          <w:bCs/>
          <w:sz w:val="24"/>
          <w:szCs w:val="24"/>
          <w:lang w:val="fr-FR"/>
        </w:rPr>
        <w:t>» est de 172 949 dollars américains</w:t>
      </w:r>
      <w:r w:rsidR="00D60EE5" w:rsidRPr="00DE313E">
        <w:rPr>
          <w:rFonts w:asciiTheme="majorBidi" w:hAnsiTheme="majorBidi" w:cstheme="majorBidi"/>
          <w:b/>
          <w:bCs/>
          <w:sz w:val="24"/>
          <w:szCs w:val="24"/>
          <w:lang w:val="fr-FR"/>
        </w:rPr>
        <w:t>.</w:t>
      </w:r>
    </w:p>
    <w:tbl>
      <w:tblPr>
        <w:tblStyle w:val="a4"/>
        <w:tblW w:w="9571" w:type="dxa"/>
        <w:tblLook w:val="04A0" w:firstRow="1" w:lastRow="0" w:firstColumn="1" w:lastColumn="0" w:noHBand="0" w:noVBand="1"/>
      </w:tblPr>
      <w:tblGrid>
        <w:gridCol w:w="2093"/>
        <w:gridCol w:w="3544"/>
        <w:gridCol w:w="3934"/>
      </w:tblGrid>
      <w:tr w:rsidR="00DE313E" w:rsidRPr="00F15FC3" w14:paraId="36117D9B" w14:textId="77777777" w:rsidTr="006C0C80">
        <w:tc>
          <w:tcPr>
            <w:tcW w:w="2093" w:type="dxa"/>
          </w:tcPr>
          <w:p w14:paraId="5609EC3A" w14:textId="3F8ADAC7" w:rsidR="00DE313E" w:rsidRPr="006C0C80" w:rsidRDefault="00DE313E" w:rsidP="00DE313E">
            <w:pPr>
              <w:rPr>
                <w:rFonts w:asciiTheme="majorBidi" w:hAnsiTheme="majorBidi" w:cstheme="majorBidi"/>
                <w:b/>
                <w:bCs/>
                <w:sz w:val="24"/>
                <w:szCs w:val="24"/>
              </w:rPr>
            </w:pPr>
            <w:r w:rsidRPr="006F1AA3">
              <w:rPr>
                <w:rFonts w:asciiTheme="majorBidi" w:hAnsiTheme="majorBidi" w:cstheme="majorBidi"/>
                <w:b/>
                <w:bCs/>
                <w:sz w:val="24"/>
                <w:szCs w:val="24"/>
                <w:lang w:val="en-GB"/>
              </w:rPr>
              <w:t>No.</w:t>
            </w:r>
            <w:r>
              <w:t xml:space="preserve"> </w:t>
            </w:r>
            <w:r>
              <w:rPr>
                <w:rFonts w:asciiTheme="majorBidi" w:hAnsiTheme="majorBidi" w:cstheme="majorBidi"/>
                <w:b/>
                <w:bCs/>
                <w:sz w:val="24"/>
                <w:szCs w:val="24"/>
                <w:lang w:val="en-GB"/>
              </w:rPr>
              <w:t>en</w:t>
            </w:r>
            <w:r w:rsidRPr="001B7B25">
              <w:rPr>
                <w:rFonts w:asciiTheme="majorBidi" w:hAnsiTheme="majorBidi" w:cstheme="majorBidi"/>
                <w:b/>
                <w:bCs/>
                <w:sz w:val="24"/>
                <w:szCs w:val="24"/>
                <w:lang w:val="en-GB"/>
              </w:rPr>
              <w:t xml:space="preserve"> séquence</w:t>
            </w:r>
          </w:p>
        </w:tc>
        <w:tc>
          <w:tcPr>
            <w:tcW w:w="3544" w:type="dxa"/>
          </w:tcPr>
          <w:p w14:paraId="55B85572" w14:textId="10766795" w:rsidR="00DE313E" w:rsidRPr="006C0C80" w:rsidRDefault="00DE313E" w:rsidP="00DE313E">
            <w:pPr>
              <w:rPr>
                <w:rFonts w:asciiTheme="majorBidi" w:hAnsiTheme="majorBidi" w:cstheme="majorBidi"/>
                <w:b/>
                <w:bCs/>
                <w:sz w:val="24"/>
                <w:szCs w:val="24"/>
              </w:rPr>
            </w:pPr>
            <w:r w:rsidRPr="001B7B25">
              <w:rPr>
                <w:rFonts w:asciiTheme="majorBidi" w:hAnsiTheme="majorBidi" w:cstheme="majorBidi"/>
                <w:b/>
                <w:bCs/>
                <w:sz w:val="24"/>
                <w:szCs w:val="24"/>
                <w:lang w:val="en-GB"/>
              </w:rPr>
              <w:t>TITRES</w:t>
            </w:r>
          </w:p>
        </w:tc>
        <w:tc>
          <w:tcPr>
            <w:tcW w:w="3934" w:type="dxa"/>
          </w:tcPr>
          <w:p w14:paraId="1BB2D13B" w14:textId="5A4E7E76" w:rsidR="00DE313E" w:rsidRPr="00DE313E" w:rsidRDefault="00DE313E" w:rsidP="00DE313E">
            <w:pPr>
              <w:rPr>
                <w:rFonts w:asciiTheme="majorBidi" w:hAnsiTheme="majorBidi" w:cstheme="majorBidi"/>
                <w:b/>
                <w:bCs/>
                <w:sz w:val="24"/>
                <w:szCs w:val="24"/>
                <w:lang w:val="fr-FR"/>
              </w:rPr>
            </w:pPr>
            <w:r w:rsidRPr="00D5735A">
              <w:rPr>
                <w:rFonts w:asciiTheme="majorBidi" w:hAnsiTheme="majorBidi" w:cstheme="majorBidi"/>
                <w:b/>
                <w:bCs/>
                <w:sz w:val="24"/>
                <w:szCs w:val="24"/>
                <w:lang w:val="fr-FR"/>
              </w:rPr>
              <w:t xml:space="preserve">Dépenses en espèces et bancaires </w:t>
            </w:r>
            <w:r w:rsidRPr="001B7B25">
              <w:rPr>
                <w:rFonts w:asciiTheme="majorBidi" w:hAnsiTheme="majorBidi" w:cstheme="majorBidi"/>
                <w:b/>
                <w:bCs/>
                <w:sz w:val="24"/>
                <w:szCs w:val="24"/>
                <w:lang w:val="fr-FR"/>
              </w:rPr>
              <w:t>(dollar</w:t>
            </w:r>
            <w:r>
              <w:rPr>
                <w:rFonts w:asciiTheme="majorBidi" w:hAnsiTheme="majorBidi" w:cstheme="majorBidi"/>
                <w:b/>
                <w:bCs/>
                <w:sz w:val="24"/>
                <w:szCs w:val="24"/>
                <w:lang w:val="fr-FR"/>
              </w:rPr>
              <w:t>s</w:t>
            </w:r>
            <w:r w:rsidRPr="001B7B25">
              <w:rPr>
                <w:rFonts w:asciiTheme="majorBidi" w:hAnsiTheme="majorBidi" w:cstheme="majorBidi"/>
                <w:b/>
                <w:bCs/>
                <w:sz w:val="24"/>
                <w:szCs w:val="24"/>
                <w:lang w:val="fr-FR"/>
              </w:rPr>
              <w:t xml:space="preserve"> </w:t>
            </w:r>
            <w:r w:rsidR="00893E85" w:rsidRPr="00893E85">
              <w:rPr>
                <w:rFonts w:asciiTheme="majorBidi" w:hAnsiTheme="majorBidi" w:cstheme="majorBidi"/>
                <w:b/>
                <w:bCs/>
                <w:sz w:val="24"/>
                <w:szCs w:val="24"/>
                <w:lang w:val="fr-FR"/>
              </w:rPr>
              <w:t>américains</w:t>
            </w:r>
            <w:r w:rsidRPr="001B7B25">
              <w:rPr>
                <w:rFonts w:asciiTheme="majorBidi" w:hAnsiTheme="majorBidi" w:cstheme="majorBidi"/>
                <w:b/>
                <w:bCs/>
                <w:sz w:val="24"/>
                <w:szCs w:val="24"/>
                <w:lang w:val="fr-FR"/>
              </w:rPr>
              <w:t>)</w:t>
            </w:r>
          </w:p>
        </w:tc>
      </w:tr>
      <w:tr w:rsidR="00DE313E" w:rsidRPr="006C0C80" w14:paraId="0D35E2F8" w14:textId="77777777" w:rsidTr="006C0C80">
        <w:tc>
          <w:tcPr>
            <w:tcW w:w="2093" w:type="dxa"/>
          </w:tcPr>
          <w:p w14:paraId="580C6D7D" w14:textId="77777777" w:rsidR="00DE313E" w:rsidRPr="006C0C80" w:rsidRDefault="00DE313E" w:rsidP="00DE313E">
            <w:pPr>
              <w:rPr>
                <w:rFonts w:ascii="Times New Roman" w:hAnsi="Times New Roman" w:cs="Times New Roman"/>
                <w:b/>
                <w:bCs/>
                <w:sz w:val="24"/>
                <w:szCs w:val="24"/>
              </w:rPr>
            </w:pPr>
            <w:r w:rsidRPr="006C0C80">
              <w:rPr>
                <w:rFonts w:ascii="Times New Roman" w:hAnsi="Times New Roman" w:cs="Times New Roman"/>
                <w:b/>
                <w:bCs/>
                <w:sz w:val="24"/>
                <w:szCs w:val="24"/>
              </w:rPr>
              <w:t>1</w:t>
            </w:r>
          </w:p>
        </w:tc>
        <w:tc>
          <w:tcPr>
            <w:tcW w:w="3544" w:type="dxa"/>
          </w:tcPr>
          <w:p w14:paraId="6FD12781" w14:textId="473AC294" w:rsidR="00DE313E" w:rsidRPr="00DE313E" w:rsidRDefault="00DE313E" w:rsidP="00DE313E">
            <w:pPr>
              <w:rPr>
                <w:rFonts w:ascii="Times New Roman" w:hAnsi="Times New Roman" w:cs="Times New Roman"/>
                <w:b/>
                <w:bCs/>
                <w:sz w:val="24"/>
                <w:szCs w:val="24"/>
              </w:rPr>
            </w:pPr>
            <w:r w:rsidRPr="00DE313E">
              <w:rPr>
                <w:rFonts w:ascii="Times New Roman" w:hAnsi="Times New Roman" w:cs="Times New Roman"/>
                <w:b/>
                <w:bCs/>
              </w:rPr>
              <w:t>Transports et voyages</w:t>
            </w:r>
          </w:p>
        </w:tc>
        <w:tc>
          <w:tcPr>
            <w:tcW w:w="3934" w:type="dxa"/>
          </w:tcPr>
          <w:p w14:paraId="45E56A90" w14:textId="77777777" w:rsidR="00DE313E" w:rsidRPr="006C0C80" w:rsidRDefault="00DE313E" w:rsidP="00DE313E">
            <w:pPr>
              <w:rPr>
                <w:rFonts w:ascii="Times New Roman" w:hAnsi="Times New Roman" w:cs="Times New Roman"/>
                <w:b/>
                <w:bCs/>
                <w:sz w:val="24"/>
                <w:szCs w:val="24"/>
              </w:rPr>
            </w:pPr>
            <w:r w:rsidRPr="006C0C80">
              <w:rPr>
                <w:rFonts w:ascii="Times New Roman" w:hAnsi="Times New Roman" w:cs="Times New Roman"/>
                <w:b/>
                <w:bCs/>
                <w:sz w:val="24"/>
                <w:szCs w:val="24"/>
              </w:rPr>
              <w:t>98653</w:t>
            </w:r>
          </w:p>
        </w:tc>
      </w:tr>
      <w:tr w:rsidR="00DE313E" w:rsidRPr="006C0C80" w14:paraId="4EC8FE98" w14:textId="77777777" w:rsidTr="006C0C80">
        <w:tc>
          <w:tcPr>
            <w:tcW w:w="2093" w:type="dxa"/>
          </w:tcPr>
          <w:p w14:paraId="6750F099" w14:textId="77777777" w:rsidR="00DE313E" w:rsidRPr="006C0C80" w:rsidRDefault="00DE313E" w:rsidP="00DE313E">
            <w:pPr>
              <w:rPr>
                <w:rFonts w:ascii="Times New Roman" w:hAnsi="Times New Roman" w:cs="Times New Roman"/>
                <w:sz w:val="24"/>
                <w:szCs w:val="24"/>
              </w:rPr>
            </w:pPr>
            <w:r w:rsidRPr="006C0C80">
              <w:rPr>
                <w:rFonts w:ascii="Times New Roman" w:hAnsi="Times New Roman" w:cs="Times New Roman"/>
                <w:sz w:val="24"/>
                <w:szCs w:val="24"/>
              </w:rPr>
              <w:t>1.1</w:t>
            </w:r>
          </w:p>
        </w:tc>
        <w:tc>
          <w:tcPr>
            <w:tcW w:w="3544" w:type="dxa"/>
          </w:tcPr>
          <w:p w14:paraId="272B19BD" w14:textId="366952C4" w:rsidR="00DE313E" w:rsidRPr="00DE313E" w:rsidRDefault="00DE313E" w:rsidP="00DE313E">
            <w:pPr>
              <w:rPr>
                <w:rFonts w:ascii="Times New Roman" w:hAnsi="Times New Roman" w:cs="Times New Roman"/>
                <w:i/>
                <w:iCs/>
                <w:sz w:val="24"/>
                <w:szCs w:val="24"/>
              </w:rPr>
            </w:pPr>
            <w:r w:rsidRPr="00DE313E">
              <w:rPr>
                <w:rFonts w:ascii="Times New Roman" w:hAnsi="Times New Roman" w:cs="Times New Roman"/>
                <w:i/>
                <w:iCs/>
              </w:rPr>
              <w:t>Voyage d'affaires interne</w:t>
            </w:r>
          </w:p>
        </w:tc>
        <w:tc>
          <w:tcPr>
            <w:tcW w:w="3934" w:type="dxa"/>
          </w:tcPr>
          <w:p w14:paraId="3B8740AD" w14:textId="77777777" w:rsidR="00DE313E" w:rsidRPr="006C0C80" w:rsidRDefault="00DE313E" w:rsidP="00DE313E">
            <w:pPr>
              <w:rPr>
                <w:rFonts w:ascii="Times New Roman" w:hAnsi="Times New Roman" w:cs="Times New Roman"/>
                <w:sz w:val="24"/>
                <w:szCs w:val="24"/>
              </w:rPr>
            </w:pPr>
            <w:r w:rsidRPr="006C0C80">
              <w:rPr>
                <w:rFonts w:ascii="Times New Roman" w:hAnsi="Times New Roman" w:cs="Times New Roman"/>
                <w:sz w:val="24"/>
                <w:szCs w:val="24"/>
              </w:rPr>
              <w:t>3010</w:t>
            </w:r>
          </w:p>
        </w:tc>
      </w:tr>
      <w:tr w:rsidR="00DE313E" w:rsidRPr="006C0C80" w14:paraId="3648B889" w14:textId="77777777" w:rsidTr="006C0C80">
        <w:tc>
          <w:tcPr>
            <w:tcW w:w="2093" w:type="dxa"/>
          </w:tcPr>
          <w:p w14:paraId="0FDBED94" w14:textId="77777777" w:rsidR="00DE313E" w:rsidRPr="006C0C80" w:rsidRDefault="00DE313E" w:rsidP="00DE313E">
            <w:pPr>
              <w:rPr>
                <w:rFonts w:ascii="Times New Roman" w:hAnsi="Times New Roman" w:cs="Times New Roman"/>
                <w:sz w:val="24"/>
                <w:szCs w:val="24"/>
              </w:rPr>
            </w:pPr>
            <w:r w:rsidRPr="006C0C80">
              <w:rPr>
                <w:rFonts w:ascii="Times New Roman" w:hAnsi="Times New Roman" w:cs="Times New Roman"/>
                <w:sz w:val="24"/>
                <w:szCs w:val="24"/>
              </w:rPr>
              <w:t>1.2</w:t>
            </w:r>
          </w:p>
        </w:tc>
        <w:tc>
          <w:tcPr>
            <w:tcW w:w="3544" w:type="dxa"/>
          </w:tcPr>
          <w:p w14:paraId="033610E0" w14:textId="628A3788" w:rsidR="00DE313E" w:rsidRPr="00DE313E" w:rsidRDefault="00DE313E" w:rsidP="00DE313E">
            <w:pPr>
              <w:rPr>
                <w:rFonts w:ascii="Times New Roman" w:hAnsi="Times New Roman" w:cs="Times New Roman"/>
                <w:i/>
                <w:iCs/>
                <w:sz w:val="24"/>
                <w:szCs w:val="24"/>
              </w:rPr>
            </w:pPr>
            <w:r w:rsidRPr="00DE313E">
              <w:rPr>
                <w:rFonts w:ascii="Times New Roman" w:hAnsi="Times New Roman" w:cs="Times New Roman"/>
                <w:i/>
                <w:iCs/>
              </w:rPr>
              <w:t>Voyages d'affaires à l'étranger</w:t>
            </w:r>
          </w:p>
        </w:tc>
        <w:tc>
          <w:tcPr>
            <w:tcW w:w="3934" w:type="dxa"/>
          </w:tcPr>
          <w:p w14:paraId="4C320723" w14:textId="77777777" w:rsidR="00DE313E" w:rsidRPr="006C0C80" w:rsidRDefault="00DE313E" w:rsidP="00DE313E">
            <w:pPr>
              <w:rPr>
                <w:rFonts w:ascii="Times New Roman" w:hAnsi="Times New Roman" w:cs="Times New Roman"/>
                <w:sz w:val="24"/>
                <w:szCs w:val="24"/>
              </w:rPr>
            </w:pPr>
            <w:r w:rsidRPr="006C0C80">
              <w:rPr>
                <w:rFonts w:ascii="Times New Roman" w:hAnsi="Times New Roman" w:cs="Times New Roman"/>
                <w:sz w:val="24"/>
                <w:szCs w:val="24"/>
              </w:rPr>
              <w:t>95643</w:t>
            </w:r>
          </w:p>
        </w:tc>
      </w:tr>
      <w:tr w:rsidR="00DE313E" w:rsidRPr="006C0C80" w14:paraId="689FB532" w14:textId="77777777" w:rsidTr="006C0C80">
        <w:tc>
          <w:tcPr>
            <w:tcW w:w="2093" w:type="dxa"/>
          </w:tcPr>
          <w:p w14:paraId="1EDC430D" w14:textId="77777777" w:rsidR="00DE313E" w:rsidRPr="006C0C80" w:rsidRDefault="00DE313E" w:rsidP="00DE313E">
            <w:pPr>
              <w:rPr>
                <w:rFonts w:ascii="Times New Roman" w:hAnsi="Times New Roman" w:cs="Times New Roman"/>
                <w:b/>
                <w:bCs/>
                <w:sz w:val="24"/>
                <w:szCs w:val="24"/>
              </w:rPr>
            </w:pPr>
            <w:r w:rsidRPr="006C0C80">
              <w:rPr>
                <w:rFonts w:ascii="Times New Roman" w:hAnsi="Times New Roman" w:cs="Times New Roman"/>
                <w:b/>
                <w:bCs/>
                <w:sz w:val="24"/>
                <w:szCs w:val="24"/>
              </w:rPr>
              <w:t>2</w:t>
            </w:r>
          </w:p>
        </w:tc>
        <w:tc>
          <w:tcPr>
            <w:tcW w:w="3544" w:type="dxa"/>
          </w:tcPr>
          <w:p w14:paraId="0305170D" w14:textId="5C68EE34" w:rsidR="00DE313E" w:rsidRPr="00DE313E" w:rsidRDefault="00DE313E" w:rsidP="00DE313E">
            <w:pPr>
              <w:rPr>
                <w:rFonts w:ascii="Times New Roman" w:hAnsi="Times New Roman" w:cs="Times New Roman"/>
                <w:b/>
                <w:bCs/>
                <w:sz w:val="24"/>
                <w:szCs w:val="24"/>
              </w:rPr>
            </w:pPr>
            <w:r w:rsidRPr="00DE313E">
              <w:rPr>
                <w:rFonts w:ascii="Times New Roman" w:hAnsi="Times New Roman" w:cs="Times New Roman"/>
                <w:b/>
                <w:bCs/>
              </w:rPr>
              <w:t>Maintenance et réparations</w:t>
            </w:r>
          </w:p>
        </w:tc>
        <w:tc>
          <w:tcPr>
            <w:tcW w:w="3934" w:type="dxa"/>
          </w:tcPr>
          <w:p w14:paraId="75521294" w14:textId="77777777" w:rsidR="00DE313E" w:rsidRPr="006C0C80" w:rsidRDefault="00DE313E" w:rsidP="00DE313E">
            <w:pPr>
              <w:rPr>
                <w:rFonts w:ascii="Times New Roman" w:hAnsi="Times New Roman" w:cs="Times New Roman"/>
                <w:b/>
                <w:bCs/>
                <w:sz w:val="24"/>
                <w:szCs w:val="24"/>
              </w:rPr>
            </w:pPr>
            <w:r w:rsidRPr="006C0C80">
              <w:rPr>
                <w:rFonts w:ascii="Times New Roman" w:hAnsi="Times New Roman" w:cs="Times New Roman"/>
                <w:b/>
                <w:bCs/>
                <w:sz w:val="24"/>
                <w:szCs w:val="24"/>
              </w:rPr>
              <w:t>3741</w:t>
            </w:r>
          </w:p>
        </w:tc>
      </w:tr>
      <w:tr w:rsidR="00DE313E" w:rsidRPr="006C0C80" w14:paraId="0B4FA5F8" w14:textId="77777777" w:rsidTr="006C0C80">
        <w:tc>
          <w:tcPr>
            <w:tcW w:w="2093" w:type="dxa"/>
          </w:tcPr>
          <w:p w14:paraId="51F732A1" w14:textId="77777777" w:rsidR="00DE313E" w:rsidRPr="006C0C80" w:rsidRDefault="00DE313E" w:rsidP="00DE313E">
            <w:pPr>
              <w:rPr>
                <w:rFonts w:ascii="Times New Roman" w:hAnsi="Times New Roman" w:cs="Times New Roman"/>
                <w:sz w:val="24"/>
                <w:szCs w:val="24"/>
              </w:rPr>
            </w:pPr>
            <w:r w:rsidRPr="006C0C80">
              <w:rPr>
                <w:rFonts w:ascii="Times New Roman" w:hAnsi="Times New Roman" w:cs="Times New Roman"/>
                <w:sz w:val="24"/>
                <w:szCs w:val="24"/>
              </w:rPr>
              <w:t>2.1</w:t>
            </w:r>
          </w:p>
        </w:tc>
        <w:tc>
          <w:tcPr>
            <w:tcW w:w="3544" w:type="dxa"/>
          </w:tcPr>
          <w:p w14:paraId="135E20CF" w14:textId="1C976CE6" w:rsidR="00DE313E" w:rsidRPr="00DE313E" w:rsidRDefault="00DE313E" w:rsidP="00DE313E">
            <w:pPr>
              <w:rPr>
                <w:rFonts w:ascii="Times New Roman" w:hAnsi="Times New Roman" w:cs="Times New Roman"/>
                <w:i/>
                <w:iCs/>
                <w:sz w:val="24"/>
                <w:szCs w:val="24"/>
              </w:rPr>
            </w:pPr>
            <w:r w:rsidRPr="00DE313E">
              <w:rPr>
                <w:rFonts w:ascii="Times New Roman" w:hAnsi="Times New Roman" w:cs="Times New Roman"/>
                <w:i/>
                <w:iCs/>
              </w:rPr>
              <w:t>Véhicules (автопаркинг)</w:t>
            </w:r>
          </w:p>
        </w:tc>
        <w:tc>
          <w:tcPr>
            <w:tcW w:w="3934" w:type="dxa"/>
          </w:tcPr>
          <w:p w14:paraId="1D1D6245" w14:textId="77777777" w:rsidR="00DE313E" w:rsidRPr="006C0C80" w:rsidRDefault="00DE313E" w:rsidP="00DE313E">
            <w:pPr>
              <w:rPr>
                <w:rFonts w:ascii="Times New Roman" w:hAnsi="Times New Roman" w:cs="Times New Roman"/>
                <w:sz w:val="24"/>
                <w:szCs w:val="24"/>
              </w:rPr>
            </w:pPr>
            <w:r w:rsidRPr="006C0C80">
              <w:rPr>
                <w:rFonts w:ascii="Times New Roman" w:hAnsi="Times New Roman" w:cs="Times New Roman"/>
                <w:sz w:val="24"/>
                <w:szCs w:val="24"/>
              </w:rPr>
              <w:t>1689</w:t>
            </w:r>
          </w:p>
        </w:tc>
      </w:tr>
      <w:tr w:rsidR="00DE313E" w:rsidRPr="006C0C80" w14:paraId="445D8D30" w14:textId="77777777" w:rsidTr="006C0C80">
        <w:tc>
          <w:tcPr>
            <w:tcW w:w="2093" w:type="dxa"/>
          </w:tcPr>
          <w:p w14:paraId="099ED7B7" w14:textId="77777777" w:rsidR="00DE313E" w:rsidRPr="006C0C80" w:rsidRDefault="00DE313E" w:rsidP="00DE313E">
            <w:pPr>
              <w:rPr>
                <w:rFonts w:ascii="Times New Roman" w:hAnsi="Times New Roman" w:cs="Times New Roman"/>
                <w:sz w:val="24"/>
                <w:szCs w:val="24"/>
              </w:rPr>
            </w:pPr>
            <w:r w:rsidRPr="006C0C80">
              <w:rPr>
                <w:rFonts w:ascii="Times New Roman" w:hAnsi="Times New Roman" w:cs="Times New Roman"/>
                <w:sz w:val="24"/>
                <w:szCs w:val="24"/>
              </w:rPr>
              <w:t>2.2</w:t>
            </w:r>
          </w:p>
        </w:tc>
        <w:tc>
          <w:tcPr>
            <w:tcW w:w="3544" w:type="dxa"/>
          </w:tcPr>
          <w:p w14:paraId="2DC638EF" w14:textId="4E016644" w:rsidR="00DE313E" w:rsidRPr="00DE313E" w:rsidRDefault="00DE313E" w:rsidP="00DE313E">
            <w:pPr>
              <w:rPr>
                <w:rFonts w:ascii="Times New Roman" w:hAnsi="Times New Roman" w:cs="Times New Roman"/>
                <w:i/>
                <w:iCs/>
                <w:sz w:val="24"/>
                <w:szCs w:val="24"/>
              </w:rPr>
            </w:pPr>
            <w:r w:rsidRPr="00DE313E">
              <w:rPr>
                <w:rFonts w:ascii="Times New Roman" w:hAnsi="Times New Roman" w:cs="Times New Roman"/>
                <w:i/>
                <w:iCs/>
              </w:rPr>
              <w:t>Meubles et équipement</w:t>
            </w:r>
          </w:p>
        </w:tc>
        <w:tc>
          <w:tcPr>
            <w:tcW w:w="3934" w:type="dxa"/>
          </w:tcPr>
          <w:p w14:paraId="2882FE2B" w14:textId="77777777" w:rsidR="00DE313E" w:rsidRPr="006C0C80" w:rsidRDefault="00DE313E" w:rsidP="00DE313E">
            <w:pPr>
              <w:rPr>
                <w:rFonts w:ascii="Times New Roman" w:hAnsi="Times New Roman" w:cs="Times New Roman"/>
                <w:sz w:val="24"/>
                <w:szCs w:val="24"/>
              </w:rPr>
            </w:pPr>
            <w:r w:rsidRPr="006C0C80">
              <w:rPr>
                <w:rFonts w:ascii="Times New Roman" w:hAnsi="Times New Roman" w:cs="Times New Roman"/>
                <w:sz w:val="24"/>
                <w:szCs w:val="24"/>
              </w:rPr>
              <w:t>2052</w:t>
            </w:r>
          </w:p>
        </w:tc>
      </w:tr>
      <w:tr w:rsidR="00DE313E" w:rsidRPr="006C0C80" w14:paraId="162E9601" w14:textId="77777777" w:rsidTr="006C0C80">
        <w:tc>
          <w:tcPr>
            <w:tcW w:w="2093" w:type="dxa"/>
          </w:tcPr>
          <w:p w14:paraId="53FE54E9" w14:textId="77777777" w:rsidR="00DE313E" w:rsidRPr="006C0C80" w:rsidRDefault="00DE313E" w:rsidP="00DE313E">
            <w:pPr>
              <w:rPr>
                <w:rFonts w:ascii="Times New Roman" w:hAnsi="Times New Roman" w:cs="Times New Roman"/>
                <w:b/>
                <w:bCs/>
                <w:sz w:val="24"/>
                <w:szCs w:val="24"/>
              </w:rPr>
            </w:pPr>
            <w:r w:rsidRPr="006C0C80">
              <w:rPr>
                <w:rFonts w:ascii="Times New Roman" w:hAnsi="Times New Roman" w:cs="Times New Roman"/>
                <w:b/>
                <w:bCs/>
                <w:sz w:val="24"/>
                <w:szCs w:val="24"/>
              </w:rPr>
              <w:t>3</w:t>
            </w:r>
          </w:p>
        </w:tc>
        <w:tc>
          <w:tcPr>
            <w:tcW w:w="3544" w:type="dxa"/>
          </w:tcPr>
          <w:p w14:paraId="5F0C4CC1" w14:textId="40DECD19" w:rsidR="00DE313E" w:rsidRPr="00DE313E" w:rsidRDefault="00DE313E" w:rsidP="00DE313E">
            <w:pPr>
              <w:rPr>
                <w:rFonts w:ascii="Times New Roman" w:hAnsi="Times New Roman" w:cs="Times New Roman"/>
                <w:b/>
                <w:bCs/>
                <w:sz w:val="24"/>
                <w:szCs w:val="24"/>
              </w:rPr>
            </w:pPr>
            <w:r w:rsidRPr="00DE313E">
              <w:rPr>
                <w:rFonts w:ascii="Times New Roman" w:hAnsi="Times New Roman" w:cs="Times New Roman"/>
                <w:b/>
                <w:bCs/>
              </w:rPr>
              <w:t>Administration de bureau</w:t>
            </w:r>
          </w:p>
        </w:tc>
        <w:tc>
          <w:tcPr>
            <w:tcW w:w="3934" w:type="dxa"/>
          </w:tcPr>
          <w:p w14:paraId="75E96758" w14:textId="77777777" w:rsidR="00DE313E" w:rsidRPr="006C0C80" w:rsidRDefault="00DE313E" w:rsidP="00DE313E">
            <w:pPr>
              <w:rPr>
                <w:rFonts w:ascii="Times New Roman" w:hAnsi="Times New Roman" w:cs="Times New Roman"/>
                <w:b/>
                <w:bCs/>
                <w:sz w:val="24"/>
                <w:szCs w:val="24"/>
              </w:rPr>
            </w:pPr>
            <w:r w:rsidRPr="006C0C80">
              <w:rPr>
                <w:rFonts w:ascii="Times New Roman" w:hAnsi="Times New Roman" w:cs="Times New Roman"/>
                <w:b/>
                <w:bCs/>
                <w:sz w:val="24"/>
                <w:szCs w:val="24"/>
              </w:rPr>
              <w:t>67266</w:t>
            </w:r>
          </w:p>
        </w:tc>
      </w:tr>
      <w:tr w:rsidR="00DE313E" w:rsidRPr="006C0C80" w14:paraId="558E4590" w14:textId="77777777" w:rsidTr="006C0C80">
        <w:tc>
          <w:tcPr>
            <w:tcW w:w="2093" w:type="dxa"/>
          </w:tcPr>
          <w:p w14:paraId="143D61BC" w14:textId="77777777" w:rsidR="00DE313E" w:rsidRPr="006C0C80" w:rsidRDefault="00DE313E" w:rsidP="00DE313E">
            <w:pPr>
              <w:rPr>
                <w:rFonts w:ascii="Times New Roman" w:hAnsi="Times New Roman" w:cs="Times New Roman"/>
                <w:sz w:val="24"/>
                <w:szCs w:val="24"/>
              </w:rPr>
            </w:pPr>
            <w:r w:rsidRPr="006C0C80">
              <w:rPr>
                <w:rFonts w:ascii="Times New Roman" w:hAnsi="Times New Roman" w:cs="Times New Roman"/>
                <w:sz w:val="24"/>
                <w:szCs w:val="24"/>
              </w:rPr>
              <w:t>3.1</w:t>
            </w:r>
          </w:p>
        </w:tc>
        <w:tc>
          <w:tcPr>
            <w:tcW w:w="3544" w:type="dxa"/>
          </w:tcPr>
          <w:p w14:paraId="11DB13B6" w14:textId="44F5A915" w:rsidR="00DE313E" w:rsidRPr="00DE313E" w:rsidRDefault="00DE313E" w:rsidP="00DE313E">
            <w:pPr>
              <w:rPr>
                <w:rFonts w:ascii="Times New Roman" w:hAnsi="Times New Roman" w:cs="Times New Roman"/>
                <w:i/>
                <w:iCs/>
                <w:sz w:val="24"/>
                <w:szCs w:val="24"/>
              </w:rPr>
            </w:pPr>
            <w:r w:rsidRPr="00DE313E">
              <w:rPr>
                <w:rFonts w:ascii="Times New Roman" w:hAnsi="Times New Roman" w:cs="Times New Roman"/>
                <w:i/>
                <w:iCs/>
              </w:rPr>
              <w:t>Impression et papeterie</w:t>
            </w:r>
          </w:p>
        </w:tc>
        <w:tc>
          <w:tcPr>
            <w:tcW w:w="3934" w:type="dxa"/>
          </w:tcPr>
          <w:p w14:paraId="1C8FD941" w14:textId="77777777" w:rsidR="00DE313E" w:rsidRPr="006C0C80" w:rsidRDefault="00DE313E" w:rsidP="00DE313E">
            <w:pPr>
              <w:rPr>
                <w:rFonts w:ascii="Times New Roman" w:hAnsi="Times New Roman" w:cs="Times New Roman"/>
                <w:sz w:val="24"/>
                <w:szCs w:val="24"/>
              </w:rPr>
            </w:pPr>
            <w:r w:rsidRPr="006C0C80">
              <w:rPr>
                <w:rFonts w:ascii="Times New Roman" w:hAnsi="Times New Roman" w:cs="Times New Roman"/>
                <w:sz w:val="24"/>
                <w:szCs w:val="24"/>
              </w:rPr>
              <w:t>10038</w:t>
            </w:r>
          </w:p>
        </w:tc>
      </w:tr>
      <w:tr w:rsidR="00DE313E" w:rsidRPr="006C0C80" w14:paraId="7FA8E4E3" w14:textId="77777777" w:rsidTr="006C0C80">
        <w:tc>
          <w:tcPr>
            <w:tcW w:w="2093" w:type="dxa"/>
          </w:tcPr>
          <w:p w14:paraId="4E0F92EF" w14:textId="77777777" w:rsidR="00DE313E" w:rsidRPr="006C0C80" w:rsidRDefault="00DE313E" w:rsidP="00DE313E">
            <w:pPr>
              <w:rPr>
                <w:rFonts w:ascii="Times New Roman" w:hAnsi="Times New Roman" w:cs="Times New Roman"/>
                <w:sz w:val="24"/>
                <w:szCs w:val="24"/>
              </w:rPr>
            </w:pPr>
            <w:r w:rsidRPr="006C0C80">
              <w:rPr>
                <w:rFonts w:ascii="Times New Roman" w:hAnsi="Times New Roman" w:cs="Times New Roman"/>
                <w:sz w:val="24"/>
                <w:szCs w:val="24"/>
              </w:rPr>
              <w:t>3.2</w:t>
            </w:r>
          </w:p>
        </w:tc>
        <w:tc>
          <w:tcPr>
            <w:tcW w:w="3544" w:type="dxa"/>
          </w:tcPr>
          <w:p w14:paraId="4684AAB3" w14:textId="66A64156" w:rsidR="00DE313E" w:rsidRPr="00DE313E" w:rsidRDefault="00DE313E" w:rsidP="00DE313E">
            <w:pPr>
              <w:rPr>
                <w:rFonts w:ascii="Times New Roman" w:hAnsi="Times New Roman" w:cs="Times New Roman"/>
                <w:i/>
                <w:iCs/>
                <w:sz w:val="24"/>
                <w:szCs w:val="24"/>
              </w:rPr>
            </w:pPr>
            <w:r w:rsidRPr="00DE313E">
              <w:rPr>
                <w:rFonts w:ascii="Times New Roman" w:hAnsi="Times New Roman" w:cs="Times New Roman"/>
                <w:i/>
                <w:iCs/>
              </w:rPr>
              <w:t>Communication</w:t>
            </w:r>
          </w:p>
        </w:tc>
        <w:tc>
          <w:tcPr>
            <w:tcW w:w="3934" w:type="dxa"/>
          </w:tcPr>
          <w:p w14:paraId="6A9560A1" w14:textId="77777777" w:rsidR="00DE313E" w:rsidRPr="006C0C80" w:rsidRDefault="00DE313E" w:rsidP="00DE313E">
            <w:pPr>
              <w:rPr>
                <w:rFonts w:ascii="Times New Roman" w:hAnsi="Times New Roman" w:cs="Times New Roman"/>
                <w:sz w:val="24"/>
                <w:szCs w:val="24"/>
              </w:rPr>
            </w:pPr>
            <w:r w:rsidRPr="006C0C80">
              <w:rPr>
                <w:rFonts w:ascii="Times New Roman" w:hAnsi="Times New Roman" w:cs="Times New Roman"/>
                <w:sz w:val="24"/>
                <w:szCs w:val="24"/>
              </w:rPr>
              <w:t>13076</w:t>
            </w:r>
          </w:p>
        </w:tc>
      </w:tr>
      <w:tr w:rsidR="00DE313E" w:rsidRPr="006C0C80" w14:paraId="32636233" w14:textId="77777777" w:rsidTr="006C0C80">
        <w:tc>
          <w:tcPr>
            <w:tcW w:w="2093" w:type="dxa"/>
          </w:tcPr>
          <w:p w14:paraId="0D61E7F5" w14:textId="77777777" w:rsidR="00DE313E" w:rsidRPr="006C0C80" w:rsidRDefault="00DE313E" w:rsidP="00DE313E">
            <w:pPr>
              <w:rPr>
                <w:rFonts w:ascii="Times New Roman" w:hAnsi="Times New Roman" w:cs="Times New Roman"/>
                <w:sz w:val="24"/>
                <w:szCs w:val="24"/>
              </w:rPr>
            </w:pPr>
            <w:r w:rsidRPr="006C0C80">
              <w:rPr>
                <w:rFonts w:ascii="Times New Roman" w:hAnsi="Times New Roman" w:cs="Times New Roman"/>
                <w:sz w:val="24"/>
                <w:szCs w:val="24"/>
              </w:rPr>
              <w:t>3.3</w:t>
            </w:r>
          </w:p>
        </w:tc>
        <w:tc>
          <w:tcPr>
            <w:tcW w:w="3544" w:type="dxa"/>
          </w:tcPr>
          <w:p w14:paraId="000C4F7D" w14:textId="1E9B3FA9" w:rsidR="00DE313E" w:rsidRPr="00DE313E" w:rsidRDefault="00DE313E" w:rsidP="00DE313E">
            <w:pPr>
              <w:rPr>
                <w:rFonts w:ascii="Times New Roman" w:hAnsi="Times New Roman" w:cs="Times New Roman"/>
                <w:i/>
                <w:iCs/>
                <w:sz w:val="24"/>
                <w:szCs w:val="24"/>
              </w:rPr>
            </w:pPr>
            <w:r w:rsidRPr="00DE313E">
              <w:rPr>
                <w:rFonts w:ascii="Times New Roman" w:hAnsi="Times New Roman" w:cs="Times New Roman"/>
                <w:i/>
                <w:iCs/>
              </w:rPr>
              <w:t>Frais bancaires</w:t>
            </w:r>
          </w:p>
        </w:tc>
        <w:tc>
          <w:tcPr>
            <w:tcW w:w="3934" w:type="dxa"/>
          </w:tcPr>
          <w:p w14:paraId="73522BB3" w14:textId="77777777" w:rsidR="00DE313E" w:rsidRPr="006C0C80" w:rsidRDefault="00DE313E" w:rsidP="00DE313E">
            <w:pPr>
              <w:rPr>
                <w:rFonts w:ascii="Times New Roman" w:hAnsi="Times New Roman" w:cs="Times New Roman"/>
                <w:sz w:val="24"/>
                <w:szCs w:val="24"/>
              </w:rPr>
            </w:pPr>
            <w:r w:rsidRPr="006C0C80">
              <w:rPr>
                <w:rFonts w:ascii="Times New Roman" w:hAnsi="Times New Roman" w:cs="Times New Roman"/>
                <w:sz w:val="24"/>
                <w:szCs w:val="24"/>
              </w:rPr>
              <w:t>3348</w:t>
            </w:r>
          </w:p>
        </w:tc>
      </w:tr>
      <w:tr w:rsidR="00DE313E" w:rsidRPr="006C0C80" w14:paraId="04739A03" w14:textId="77777777" w:rsidTr="006C0C80">
        <w:tc>
          <w:tcPr>
            <w:tcW w:w="2093" w:type="dxa"/>
          </w:tcPr>
          <w:p w14:paraId="29BAFC7F" w14:textId="77777777" w:rsidR="00DE313E" w:rsidRPr="006C0C80" w:rsidRDefault="00DE313E" w:rsidP="00DE313E">
            <w:pPr>
              <w:rPr>
                <w:rFonts w:ascii="Times New Roman" w:hAnsi="Times New Roman" w:cs="Times New Roman"/>
                <w:sz w:val="24"/>
                <w:szCs w:val="24"/>
              </w:rPr>
            </w:pPr>
            <w:r w:rsidRPr="006C0C80">
              <w:rPr>
                <w:rFonts w:ascii="Times New Roman" w:hAnsi="Times New Roman" w:cs="Times New Roman"/>
                <w:sz w:val="24"/>
                <w:szCs w:val="24"/>
              </w:rPr>
              <w:t>3.4</w:t>
            </w:r>
          </w:p>
        </w:tc>
        <w:tc>
          <w:tcPr>
            <w:tcW w:w="3544" w:type="dxa"/>
          </w:tcPr>
          <w:p w14:paraId="05754FEF" w14:textId="4594474D" w:rsidR="00DE313E" w:rsidRPr="00DE313E" w:rsidRDefault="00DE313E" w:rsidP="00DE313E">
            <w:pPr>
              <w:rPr>
                <w:rFonts w:ascii="Times New Roman" w:hAnsi="Times New Roman" w:cs="Times New Roman"/>
                <w:i/>
                <w:iCs/>
                <w:sz w:val="24"/>
                <w:szCs w:val="24"/>
              </w:rPr>
            </w:pPr>
            <w:r w:rsidRPr="00DE313E">
              <w:rPr>
                <w:rFonts w:ascii="Times New Roman" w:hAnsi="Times New Roman" w:cs="Times New Roman"/>
                <w:i/>
                <w:iCs/>
              </w:rPr>
              <w:t>Frais accessoires</w:t>
            </w:r>
          </w:p>
        </w:tc>
        <w:tc>
          <w:tcPr>
            <w:tcW w:w="3934" w:type="dxa"/>
          </w:tcPr>
          <w:p w14:paraId="0088355B" w14:textId="77777777" w:rsidR="00DE313E" w:rsidRPr="006C0C80" w:rsidRDefault="00DE313E" w:rsidP="00DE313E">
            <w:pPr>
              <w:rPr>
                <w:rFonts w:ascii="Times New Roman" w:hAnsi="Times New Roman" w:cs="Times New Roman"/>
                <w:sz w:val="24"/>
                <w:szCs w:val="24"/>
              </w:rPr>
            </w:pPr>
            <w:r w:rsidRPr="006C0C80">
              <w:rPr>
                <w:rFonts w:ascii="Times New Roman" w:hAnsi="Times New Roman" w:cs="Times New Roman"/>
                <w:sz w:val="24"/>
                <w:szCs w:val="24"/>
              </w:rPr>
              <w:t>40804</w:t>
            </w:r>
          </w:p>
        </w:tc>
      </w:tr>
      <w:tr w:rsidR="00DE313E" w:rsidRPr="006C0C80" w14:paraId="455BE548" w14:textId="77777777" w:rsidTr="006C0C80">
        <w:tc>
          <w:tcPr>
            <w:tcW w:w="2093" w:type="dxa"/>
          </w:tcPr>
          <w:p w14:paraId="61E8102C" w14:textId="77777777" w:rsidR="00DE313E" w:rsidRPr="006C0C80" w:rsidRDefault="00DE313E" w:rsidP="00DE313E">
            <w:pPr>
              <w:rPr>
                <w:rFonts w:ascii="Times New Roman" w:hAnsi="Times New Roman" w:cs="Times New Roman"/>
                <w:b/>
                <w:bCs/>
                <w:sz w:val="24"/>
                <w:szCs w:val="24"/>
              </w:rPr>
            </w:pPr>
            <w:r w:rsidRPr="006C0C80">
              <w:rPr>
                <w:rFonts w:ascii="Times New Roman" w:hAnsi="Times New Roman" w:cs="Times New Roman"/>
                <w:b/>
                <w:bCs/>
                <w:sz w:val="24"/>
                <w:szCs w:val="24"/>
              </w:rPr>
              <w:t>4</w:t>
            </w:r>
          </w:p>
        </w:tc>
        <w:tc>
          <w:tcPr>
            <w:tcW w:w="3544" w:type="dxa"/>
          </w:tcPr>
          <w:p w14:paraId="1EC15E55" w14:textId="24FDEE52" w:rsidR="00DE313E" w:rsidRPr="00DE313E" w:rsidRDefault="00DE313E" w:rsidP="00DE313E">
            <w:pPr>
              <w:rPr>
                <w:rFonts w:ascii="Times New Roman" w:hAnsi="Times New Roman" w:cs="Times New Roman"/>
                <w:b/>
                <w:bCs/>
                <w:sz w:val="24"/>
                <w:szCs w:val="24"/>
              </w:rPr>
            </w:pPr>
            <w:r w:rsidRPr="00DE313E">
              <w:rPr>
                <w:rFonts w:ascii="Times New Roman" w:hAnsi="Times New Roman" w:cs="Times New Roman"/>
                <w:b/>
                <w:bCs/>
              </w:rPr>
              <w:t>Représentations et réception</w:t>
            </w:r>
          </w:p>
        </w:tc>
        <w:tc>
          <w:tcPr>
            <w:tcW w:w="3934" w:type="dxa"/>
          </w:tcPr>
          <w:p w14:paraId="7B4C9E25" w14:textId="77777777" w:rsidR="00DE313E" w:rsidRPr="006C0C80" w:rsidRDefault="00DE313E" w:rsidP="00DE313E">
            <w:pPr>
              <w:rPr>
                <w:rFonts w:ascii="Times New Roman" w:hAnsi="Times New Roman" w:cs="Times New Roman"/>
                <w:b/>
                <w:bCs/>
                <w:sz w:val="24"/>
                <w:szCs w:val="24"/>
              </w:rPr>
            </w:pPr>
            <w:r w:rsidRPr="006C0C80">
              <w:rPr>
                <w:rFonts w:ascii="Times New Roman" w:hAnsi="Times New Roman" w:cs="Times New Roman"/>
                <w:b/>
                <w:bCs/>
                <w:sz w:val="24"/>
                <w:szCs w:val="24"/>
              </w:rPr>
              <w:t>3289</w:t>
            </w:r>
          </w:p>
        </w:tc>
      </w:tr>
      <w:tr w:rsidR="00DE313E" w:rsidRPr="006C0C80" w14:paraId="7EB189AA" w14:textId="77777777" w:rsidTr="006C0C80">
        <w:tc>
          <w:tcPr>
            <w:tcW w:w="2093" w:type="dxa"/>
          </w:tcPr>
          <w:p w14:paraId="7177CE19" w14:textId="77777777" w:rsidR="00DE313E" w:rsidRPr="006C0C80" w:rsidRDefault="00DE313E" w:rsidP="00DE313E">
            <w:pPr>
              <w:rPr>
                <w:rFonts w:ascii="Times New Roman" w:hAnsi="Times New Roman" w:cs="Times New Roman"/>
                <w:b/>
                <w:bCs/>
                <w:sz w:val="24"/>
                <w:szCs w:val="24"/>
              </w:rPr>
            </w:pPr>
            <w:r w:rsidRPr="006C0C80">
              <w:rPr>
                <w:rFonts w:ascii="Times New Roman" w:hAnsi="Times New Roman" w:cs="Times New Roman"/>
                <w:b/>
                <w:bCs/>
                <w:sz w:val="24"/>
                <w:szCs w:val="24"/>
              </w:rPr>
              <w:t>5</w:t>
            </w:r>
          </w:p>
        </w:tc>
        <w:tc>
          <w:tcPr>
            <w:tcW w:w="3544" w:type="dxa"/>
          </w:tcPr>
          <w:p w14:paraId="1C2A9836" w14:textId="44048D5E" w:rsidR="00DE313E" w:rsidRPr="00DE313E" w:rsidRDefault="00DE313E" w:rsidP="00DE313E">
            <w:pPr>
              <w:rPr>
                <w:rFonts w:ascii="Times New Roman" w:hAnsi="Times New Roman" w:cs="Times New Roman"/>
                <w:b/>
                <w:bCs/>
                <w:sz w:val="24"/>
                <w:szCs w:val="24"/>
              </w:rPr>
            </w:pPr>
            <w:r w:rsidRPr="00DE313E">
              <w:rPr>
                <w:rFonts w:ascii="Times New Roman" w:hAnsi="Times New Roman" w:cs="Times New Roman"/>
                <w:b/>
                <w:bCs/>
              </w:rPr>
              <w:t>TOTAL</w:t>
            </w:r>
          </w:p>
        </w:tc>
        <w:tc>
          <w:tcPr>
            <w:tcW w:w="3934" w:type="dxa"/>
          </w:tcPr>
          <w:p w14:paraId="291DFE4D" w14:textId="77777777" w:rsidR="00DE313E" w:rsidRPr="006C0C80" w:rsidRDefault="00DE313E" w:rsidP="00DE313E">
            <w:pPr>
              <w:rPr>
                <w:rFonts w:ascii="Times New Roman" w:hAnsi="Times New Roman" w:cs="Times New Roman"/>
                <w:b/>
                <w:bCs/>
                <w:sz w:val="24"/>
                <w:szCs w:val="24"/>
              </w:rPr>
            </w:pPr>
            <w:r w:rsidRPr="006C0C80">
              <w:rPr>
                <w:rFonts w:ascii="Times New Roman" w:hAnsi="Times New Roman" w:cs="Times New Roman"/>
                <w:b/>
                <w:bCs/>
                <w:sz w:val="24"/>
                <w:szCs w:val="24"/>
              </w:rPr>
              <w:t>172 949</w:t>
            </w:r>
          </w:p>
        </w:tc>
      </w:tr>
    </w:tbl>
    <w:p w14:paraId="7BFB39B6" w14:textId="77777777" w:rsidR="006C0C80" w:rsidRDefault="006C0C80" w:rsidP="00AC040D">
      <w:pPr>
        <w:pStyle w:val="a3"/>
        <w:tabs>
          <w:tab w:val="left" w:pos="426"/>
          <w:tab w:val="left" w:pos="993"/>
        </w:tabs>
        <w:spacing w:after="0"/>
        <w:ind w:left="0"/>
        <w:jc w:val="both"/>
        <w:rPr>
          <w:rFonts w:asciiTheme="majorBidi" w:hAnsiTheme="majorBidi" w:cstheme="majorBidi"/>
          <w:b/>
          <w:bCs/>
          <w:sz w:val="24"/>
          <w:szCs w:val="24"/>
        </w:rPr>
      </w:pPr>
    </w:p>
    <w:p w14:paraId="4C4B1B7E" w14:textId="77777777" w:rsidR="00893E85" w:rsidRPr="00893E85" w:rsidRDefault="00893E85" w:rsidP="00893E85">
      <w:pPr>
        <w:pStyle w:val="a3"/>
        <w:tabs>
          <w:tab w:val="left" w:pos="426"/>
          <w:tab w:val="left" w:pos="993"/>
        </w:tabs>
        <w:spacing w:after="0"/>
        <w:ind w:left="0"/>
        <w:jc w:val="both"/>
        <w:rPr>
          <w:rFonts w:asciiTheme="majorBidi" w:hAnsiTheme="majorBidi" w:cstheme="majorBidi"/>
          <w:sz w:val="24"/>
          <w:szCs w:val="24"/>
          <w:lang w:val="fr-FR"/>
        </w:rPr>
      </w:pPr>
      <w:r w:rsidRPr="00893E85">
        <w:rPr>
          <w:rFonts w:asciiTheme="majorBidi" w:hAnsiTheme="majorBidi" w:cstheme="majorBidi"/>
          <w:sz w:val="24"/>
          <w:szCs w:val="24"/>
          <w:lang w:val="fr-FR"/>
        </w:rPr>
        <w:t xml:space="preserve">Selon Règlement de l'Organisation Islamique pour la Sécurité Alimentaire sur la gestion du personnel, un employé du Secrétariat est envoyé en voyage d'affaires officiel, à l'intérieur et à l'extérieur du pays du siège, uniquement à des fins d'assistance et pour atteindre les buts et objectifs de l'Organisation. </w:t>
      </w:r>
      <w:r w:rsidRPr="00893E85">
        <w:rPr>
          <w:rFonts w:asciiTheme="majorBidi" w:hAnsiTheme="majorBidi" w:cstheme="majorBidi"/>
          <w:b/>
          <w:bCs/>
          <w:sz w:val="24"/>
          <w:szCs w:val="24"/>
          <w:lang w:val="fr-FR"/>
        </w:rPr>
        <w:t>Au cours de la période considérée, 98 653 dollars américains ont été payés pour les frais de voyage</w:t>
      </w:r>
      <w:r w:rsidRPr="00893E85">
        <w:rPr>
          <w:rFonts w:asciiTheme="majorBidi" w:hAnsiTheme="majorBidi" w:cstheme="majorBidi"/>
          <w:sz w:val="24"/>
          <w:szCs w:val="24"/>
          <w:lang w:val="fr-FR"/>
        </w:rPr>
        <w:t>.</w:t>
      </w:r>
    </w:p>
    <w:p w14:paraId="4BE0859F" w14:textId="56BDD059" w:rsidR="00720ECA" w:rsidRPr="00893E85" w:rsidRDefault="00893E85" w:rsidP="00893E85">
      <w:pPr>
        <w:pStyle w:val="a3"/>
        <w:tabs>
          <w:tab w:val="left" w:pos="426"/>
          <w:tab w:val="left" w:pos="993"/>
        </w:tabs>
        <w:spacing w:after="0"/>
        <w:ind w:left="0"/>
        <w:jc w:val="both"/>
        <w:rPr>
          <w:rFonts w:asciiTheme="majorBidi" w:hAnsiTheme="majorBidi" w:cstheme="majorBidi"/>
          <w:sz w:val="24"/>
          <w:szCs w:val="24"/>
          <w:lang w:val="fr-FR"/>
        </w:rPr>
      </w:pPr>
      <w:r w:rsidRPr="00893E85">
        <w:rPr>
          <w:rFonts w:asciiTheme="majorBidi" w:hAnsiTheme="majorBidi" w:cstheme="majorBidi"/>
          <w:sz w:val="24"/>
          <w:szCs w:val="24"/>
          <w:lang w:val="fr-FR"/>
        </w:rPr>
        <w:t xml:space="preserve">Pour 2019, les frais administratifs, d'exploitation, d'affaires et de représentation se sont élevés à 74 296 dollars américains. Ces dépenses visent à conclure des accords avec divers fournisseurs de </w:t>
      </w:r>
      <w:r w:rsidRPr="00893E85">
        <w:rPr>
          <w:rFonts w:asciiTheme="majorBidi" w:hAnsiTheme="majorBidi" w:cstheme="majorBidi"/>
          <w:sz w:val="24"/>
          <w:szCs w:val="24"/>
          <w:lang w:val="fr-FR"/>
        </w:rPr>
        <w:lastRenderedPageBreak/>
        <w:t>réserves et services d'inventaire, à savoir l'achat de fournitures de bureau, le paiement des services postaux et de messagerie, pour les services de communication et Internet, l'entretien du matériel de bureau, l'entretien du bureau, les services bancaires, les frais de divertissement.</w:t>
      </w:r>
    </w:p>
    <w:p w14:paraId="7F73020B" w14:textId="77777777" w:rsidR="00BF0471" w:rsidRPr="00893E85" w:rsidRDefault="00BF0471" w:rsidP="007D7F44">
      <w:pPr>
        <w:pStyle w:val="a3"/>
        <w:tabs>
          <w:tab w:val="left" w:pos="426"/>
          <w:tab w:val="left" w:pos="993"/>
        </w:tabs>
        <w:spacing w:after="0"/>
        <w:ind w:left="0" w:firstLine="426"/>
        <w:jc w:val="both"/>
        <w:rPr>
          <w:rFonts w:asciiTheme="majorBidi" w:hAnsiTheme="majorBidi" w:cstheme="majorBidi"/>
          <w:sz w:val="24"/>
          <w:szCs w:val="24"/>
          <w:lang w:val="fr-FR"/>
        </w:rPr>
      </w:pPr>
    </w:p>
    <w:p w14:paraId="7A2265AA" w14:textId="6C0C55AF" w:rsidR="00720ECA" w:rsidRPr="00893E85" w:rsidRDefault="00893E85" w:rsidP="00BF0471">
      <w:pPr>
        <w:pStyle w:val="a3"/>
        <w:tabs>
          <w:tab w:val="left" w:pos="426"/>
          <w:tab w:val="left" w:pos="993"/>
        </w:tabs>
        <w:spacing w:after="0"/>
        <w:ind w:left="0"/>
        <w:jc w:val="both"/>
        <w:rPr>
          <w:rFonts w:asciiTheme="majorBidi" w:hAnsiTheme="majorBidi" w:cstheme="majorBidi"/>
          <w:b/>
          <w:bCs/>
          <w:sz w:val="24"/>
          <w:szCs w:val="24"/>
          <w:lang w:val="fr-FR"/>
        </w:rPr>
      </w:pPr>
      <w:r w:rsidRPr="00893E85">
        <w:rPr>
          <w:rFonts w:asciiTheme="majorBidi" w:hAnsiTheme="majorBidi" w:cstheme="majorBidi"/>
          <w:b/>
          <w:bCs/>
          <w:sz w:val="24"/>
          <w:szCs w:val="24"/>
          <w:lang w:val="fr-FR"/>
        </w:rPr>
        <w:t>Le tableau N° 1 montre que l'article de dépenses N° 3 «</w:t>
      </w:r>
      <w:r>
        <w:rPr>
          <w:rFonts w:asciiTheme="majorBidi" w:hAnsiTheme="majorBidi" w:cstheme="majorBidi"/>
          <w:b/>
          <w:bCs/>
          <w:sz w:val="24"/>
          <w:szCs w:val="24"/>
          <w:lang w:val="fr-FR"/>
        </w:rPr>
        <w:t xml:space="preserve"> </w:t>
      </w:r>
      <w:r w:rsidRPr="00893E85">
        <w:rPr>
          <w:rFonts w:asciiTheme="majorBidi" w:hAnsiTheme="majorBidi" w:cstheme="majorBidi"/>
          <w:b/>
          <w:bCs/>
          <w:sz w:val="24"/>
          <w:szCs w:val="24"/>
          <w:lang w:val="fr-FR"/>
        </w:rPr>
        <w:t>ACQUISITION DE MEUBLES ET ÉQUIPEMENTS</w:t>
      </w:r>
      <w:r>
        <w:rPr>
          <w:rFonts w:asciiTheme="majorBidi" w:hAnsiTheme="majorBidi" w:cstheme="majorBidi"/>
          <w:b/>
          <w:bCs/>
          <w:sz w:val="24"/>
          <w:szCs w:val="24"/>
          <w:lang w:val="fr-FR"/>
        </w:rPr>
        <w:t xml:space="preserve"> </w:t>
      </w:r>
      <w:r w:rsidRPr="00893E85">
        <w:rPr>
          <w:rFonts w:asciiTheme="majorBidi" w:hAnsiTheme="majorBidi" w:cstheme="majorBidi"/>
          <w:b/>
          <w:bCs/>
          <w:sz w:val="24"/>
          <w:szCs w:val="24"/>
          <w:lang w:val="fr-FR"/>
        </w:rPr>
        <w:t>» est de 124 979 dollars américains</w:t>
      </w:r>
      <w:r w:rsidR="00720ECA" w:rsidRPr="00893E85">
        <w:rPr>
          <w:rFonts w:asciiTheme="majorBidi" w:hAnsiTheme="majorBidi" w:cstheme="majorBidi"/>
          <w:b/>
          <w:bCs/>
          <w:sz w:val="24"/>
          <w:szCs w:val="24"/>
          <w:lang w:val="fr-FR"/>
        </w:rPr>
        <w:t>.</w:t>
      </w:r>
    </w:p>
    <w:p w14:paraId="14A32CC3" w14:textId="77777777" w:rsidR="00090A66" w:rsidRPr="00893E85" w:rsidRDefault="00090A66" w:rsidP="00BF0471">
      <w:pPr>
        <w:pStyle w:val="a3"/>
        <w:tabs>
          <w:tab w:val="left" w:pos="426"/>
          <w:tab w:val="left" w:pos="993"/>
        </w:tabs>
        <w:spacing w:after="0"/>
        <w:ind w:left="0"/>
        <w:jc w:val="both"/>
        <w:rPr>
          <w:rFonts w:asciiTheme="majorBidi" w:hAnsiTheme="majorBidi" w:cstheme="majorBidi"/>
          <w:b/>
          <w:bCs/>
          <w:sz w:val="24"/>
          <w:szCs w:val="24"/>
          <w:lang w:val="fr-FR"/>
        </w:rPr>
      </w:pPr>
    </w:p>
    <w:tbl>
      <w:tblPr>
        <w:tblStyle w:val="a4"/>
        <w:tblW w:w="0" w:type="auto"/>
        <w:tblLook w:val="04A0" w:firstRow="1" w:lastRow="0" w:firstColumn="1" w:lastColumn="0" w:noHBand="0" w:noVBand="1"/>
      </w:tblPr>
      <w:tblGrid>
        <w:gridCol w:w="2079"/>
        <w:gridCol w:w="3515"/>
        <w:gridCol w:w="3894"/>
      </w:tblGrid>
      <w:tr w:rsidR="00893E85" w:rsidRPr="00F15FC3" w14:paraId="2BF3DC98" w14:textId="77777777" w:rsidTr="00893E85">
        <w:tc>
          <w:tcPr>
            <w:tcW w:w="2079" w:type="dxa"/>
          </w:tcPr>
          <w:p w14:paraId="52F8EE02" w14:textId="78735C95" w:rsidR="00893E85" w:rsidRPr="00090A66" w:rsidRDefault="00893E85" w:rsidP="00893E85">
            <w:pPr>
              <w:rPr>
                <w:rFonts w:asciiTheme="majorBidi" w:hAnsiTheme="majorBidi" w:cstheme="majorBidi"/>
                <w:b/>
                <w:bCs/>
                <w:sz w:val="24"/>
                <w:szCs w:val="24"/>
              </w:rPr>
            </w:pPr>
            <w:r w:rsidRPr="006F1AA3">
              <w:rPr>
                <w:rFonts w:asciiTheme="majorBidi" w:hAnsiTheme="majorBidi" w:cstheme="majorBidi"/>
                <w:b/>
                <w:bCs/>
                <w:sz w:val="24"/>
                <w:szCs w:val="24"/>
                <w:lang w:val="en-GB"/>
              </w:rPr>
              <w:t>No.</w:t>
            </w:r>
            <w:r>
              <w:t xml:space="preserve"> </w:t>
            </w:r>
            <w:r>
              <w:rPr>
                <w:rFonts w:asciiTheme="majorBidi" w:hAnsiTheme="majorBidi" w:cstheme="majorBidi"/>
                <w:b/>
                <w:bCs/>
                <w:sz w:val="24"/>
                <w:szCs w:val="24"/>
                <w:lang w:val="en-GB"/>
              </w:rPr>
              <w:t>en</w:t>
            </w:r>
            <w:r w:rsidRPr="001B7B25">
              <w:rPr>
                <w:rFonts w:asciiTheme="majorBidi" w:hAnsiTheme="majorBidi" w:cstheme="majorBidi"/>
                <w:b/>
                <w:bCs/>
                <w:sz w:val="24"/>
                <w:szCs w:val="24"/>
                <w:lang w:val="en-GB"/>
              </w:rPr>
              <w:t xml:space="preserve"> séquence</w:t>
            </w:r>
          </w:p>
        </w:tc>
        <w:tc>
          <w:tcPr>
            <w:tcW w:w="3515" w:type="dxa"/>
          </w:tcPr>
          <w:p w14:paraId="32CFB345" w14:textId="136576FA" w:rsidR="00893E85" w:rsidRPr="00090A66" w:rsidRDefault="00893E85" w:rsidP="00893E85">
            <w:pPr>
              <w:rPr>
                <w:rFonts w:asciiTheme="majorBidi" w:hAnsiTheme="majorBidi" w:cstheme="majorBidi"/>
                <w:b/>
                <w:bCs/>
                <w:sz w:val="24"/>
                <w:szCs w:val="24"/>
              </w:rPr>
            </w:pPr>
            <w:r w:rsidRPr="001B7B25">
              <w:rPr>
                <w:rFonts w:asciiTheme="majorBidi" w:hAnsiTheme="majorBidi" w:cstheme="majorBidi"/>
                <w:b/>
                <w:bCs/>
                <w:sz w:val="24"/>
                <w:szCs w:val="24"/>
                <w:lang w:val="en-GB"/>
              </w:rPr>
              <w:t>TITRES</w:t>
            </w:r>
          </w:p>
        </w:tc>
        <w:tc>
          <w:tcPr>
            <w:tcW w:w="3894" w:type="dxa"/>
          </w:tcPr>
          <w:p w14:paraId="651D3129" w14:textId="1CE97282" w:rsidR="00893E85" w:rsidRPr="00893E85" w:rsidRDefault="00893E85" w:rsidP="00893E85">
            <w:pPr>
              <w:rPr>
                <w:rFonts w:asciiTheme="majorBidi" w:hAnsiTheme="majorBidi" w:cstheme="majorBidi"/>
                <w:b/>
                <w:bCs/>
                <w:sz w:val="24"/>
                <w:szCs w:val="24"/>
                <w:lang w:val="fr-FR"/>
              </w:rPr>
            </w:pPr>
            <w:r w:rsidRPr="00D5735A">
              <w:rPr>
                <w:rFonts w:asciiTheme="majorBidi" w:hAnsiTheme="majorBidi" w:cstheme="majorBidi"/>
                <w:b/>
                <w:bCs/>
                <w:sz w:val="24"/>
                <w:szCs w:val="24"/>
                <w:lang w:val="fr-FR"/>
              </w:rPr>
              <w:t xml:space="preserve">Dépenses en espèces et bancaires </w:t>
            </w:r>
            <w:r w:rsidRPr="001B7B25">
              <w:rPr>
                <w:rFonts w:asciiTheme="majorBidi" w:hAnsiTheme="majorBidi" w:cstheme="majorBidi"/>
                <w:b/>
                <w:bCs/>
                <w:sz w:val="24"/>
                <w:szCs w:val="24"/>
                <w:lang w:val="fr-FR"/>
              </w:rPr>
              <w:t>(dollar</w:t>
            </w:r>
            <w:r>
              <w:rPr>
                <w:rFonts w:asciiTheme="majorBidi" w:hAnsiTheme="majorBidi" w:cstheme="majorBidi"/>
                <w:b/>
                <w:bCs/>
                <w:sz w:val="24"/>
                <w:szCs w:val="24"/>
                <w:lang w:val="fr-FR"/>
              </w:rPr>
              <w:t>s</w:t>
            </w:r>
            <w:r w:rsidRPr="001B7B25">
              <w:rPr>
                <w:rFonts w:asciiTheme="majorBidi" w:hAnsiTheme="majorBidi" w:cstheme="majorBidi"/>
                <w:b/>
                <w:bCs/>
                <w:sz w:val="24"/>
                <w:szCs w:val="24"/>
                <w:lang w:val="fr-FR"/>
              </w:rPr>
              <w:t xml:space="preserve"> </w:t>
            </w:r>
            <w:r w:rsidRPr="00893E85">
              <w:rPr>
                <w:rFonts w:asciiTheme="majorBidi" w:hAnsiTheme="majorBidi" w:cstheme="majorBidi"/>
                <w:b/>
                <w:bCs/>
                <w:sz w:val="24"/>
                <w:szCs w:val="24"/>
                <w:lang w:val="fr-FR"/>
              </w:rPr>
              <w:t>américains</w:t>
            </w:r>
            <w:r w:rsidRPr="001B7B25">
              <w:rPr>
                <w:rFonts w:asciiTheme="majorBidi" w:hAnsiTheme="majorBidi" w:cstheme="majorBidi"/>
                <w:b/>
                <w:bCs/>
                <w:sz w:val="24"/>
                <w:szCs w:val="24"/>
                <w:lang w:val="fr-FR"/>
              </w:rPr>
              <w:t>)</w:t>
            </w:r>
          </w:p>
        </w:tc>
      </w:tr>
      <w:tr w:rsidR="00527287" w:rsidRPr="00090A66" w14:paraId="62339148" w14:textId="77777777" w:rsidTr="00893E85">
        <w:tc>
          <w:tcPr>
            <w:tcW w:w="2079" w:type="dxa"/>
          </w:tcPr>
          <w:p w14:paraId="45627FDF" w14:textId="77777777" w:rsidR="00527287" w:rsidRPr="00527287" w:rsidRDefault="00527287" w:rsidP="009A12BF">
            <w:pPr>
              <w:rPr>
                <w:rFonts w:asciiTheme="majorBidi" w:hAnsiTheme="majorBidi" w:cstheme="majorBidi"/>
                <w:b/>
                <w:bCs/>
                <w:sz w:val="24"/>
                <w:szCs w:val="24"/>
              </w:rPr>
            </w:pPr>
            <w:r w:rsidRPr="00527287">
              <w:rPr>
                <w:rFonts w:asciiTheme="majorBidi" w:hAnsiTheme="majorBidi" w:cstheme="majorBidi"/>
                <w:b/>
                <w:bCs/>
                <w:sz w:val="24"/>
                <w:szCs w:val="24"/>
              </w:rPr>
              <w:t>1</w:t>
            </w:r>
          </w:p>
        </w:tc>
        <w:tc>
          <w:tcPr>
            <w:tcW w:w="3515" w:type="dxa"/>
          </w:tcPr>
          <w:p w14:paraId="6ED060E1" w14:textId="77777777" w:rsidR="00527287" w:rsidRPr="00527287" w:rsidRDefault="00527287" w:rsidP="009A12BF">
            <w:pPr>
              <w:rPr>
                <w:rFonts w:asciiTheme="majorBidi" w:hAnsiTheme="majorBidi" w:cstheme="majorBidi"/>
                <w:b/>
                <w:bCs/>
                <w:sz w:val="24"/>
                <w:szCs w:val="24"/>
              </w:rPr>
            </w:pPr>
            <w:r w:rsidRPr="00527287">
              <w:rPr>
                <w:rFonts w:asciiTheme="majorBidi" w:hAnsiTheme="majorBidi" w:cstheme="majorBidi"/>
                <w:b/>
                <w:bCs/>
                <w:sz w:val="24"/>
                <w:szCs w:val="24"/>
              </w:rPr>
              <w:t>Capital expenditures</w:t>
            </w:r>
          </w:p>
        </w:tc>
        <w:tc>
          <w:tcPr>
            <w:tcW w:w="3894" w:type="dxa"/>
          </w:tcPr>
          <w:p w14:paraId="4B2193E5" w14:textId="31804BBD" w:rsidR="00527287" w:rsidRPr="00527287" w:rsidRDefault="00527287" w:rsidP="00010AD1">
            <w:pPr>
              <w:rPr>
                <w:rFonts w:asciiTheme="majorBidi" w:hAnsiTheme="majorBidi" w:cstheme="majorBidi"/>
                <w:b/>
                <w:bCs/>
                <w:sz w:val="24"/>
                <w:szCs w:val="24"/>
              </w:rPr>
            </w:pPr>
            <w:r w:rsidRPr="00527287">
              <w:rPr>
                <w:rFonts w:asciiTheme="majorBidi" w:hAnsiTheme="majorBidi" w:cstheme="majorBidi"/>
                <w:b/>
                <w:bCs/>
                <w:sz w:val="24"/>
                <w:szCs w:val="24"/>
              </w:rPr>
              <w:t>1249</w:t>
            </w:r>
            <w:r w:rsidR="00F15FC3">
              <w:rPr>
                <w:rFonts w:asciiTheme="majorBidi" w:hAnsiTheme="majorBidi" w:cstheme="majorBidi"/>
                <w:b/>
                <w:bCs/>
                <w:sz w:val="24"/>
                <w:szCs w:val="24"/>
                <w:lang w:val="en-US"/>
              </w:rPr>
              <w:t>7</w:t>
            </w:r>
            <w:r w:rsidRPr="00527287">
              <w:rPr>
                <w:rFonts w:asciiTheme="majorBidi" w:hAnsiTheme="majorBidi" w:cstheme="majorBidi"/>
                <w:b/>
                <w:bCs/>
                <w:sz w:val="24"/>
                <w:szCs w:val="24"/>
              </w:rPr>
              <w:t>9</w:t>
            </w:r>
          </w:p>
        </w:tc>
      </w:tr>
      <w:tr w:rsidR="00527287" w:rsidRPr="00090A66" w14:paraId="4EEA3569" w14:textId="77777777" w:rsidTr="00893E85">
        <w:tc>
          <w:tcPr>
            <w:tcW w:w="2079" w:type="dxa"/>
          </w:tcPr>
          <w:p w14:paraId="6F594FDE" w14:textId="77777777" w:rsidR="00527287" w:rsidRPr="00527287" w:rsidRDefault="00527287" w:rsidP="009A12BF">
            <w:pPr>
              <w:rPr>
                <w:rFonts w:asciiTheme="majorBidi" w:hAnsiTheme="majorBidi" w:cstheme="majorBidi"/>
                <w:sz w:val="24"/>
                <w:szCs w:val="24"/>
              </w:rPr>
            </w:pPr>
            <w:r w:rsidRPr="00527287">
              <w:rPr>
                <w:rFonts w:asciiTheme="majorBidi" w:hAnsiTheme="majorBidi" w:cstheme="majorBidi"/>
                <w:sz w:val="24"/>
                <w:szCs w:val="24"/>
              </w:rPr>
              <w:t>1.1</w:t>
            </w:r>
          </w:p>
        </w:tc>
        <w:tc>
          <w:tcPr>
            <w:tcW w:w="3515" w:type="dxa"/>
          </w:tcPr>
          <w:p w14:paraId="5059FA3F" w14:textId="77777777" w:rsidR="00527287" w:rsidRPr="00527287" w:rsidRDefault="00527287" w:rsidP="009A12BF">
            <w:pPr>
              <w:rPr>
                <w:rFonts w:asciiTheme="majorBidi" w:hAnsiTheme="majorBidi" w:cstheme="majorBidi"/>
                <w:i/>
                <w:iCs/>
                <w:sz w:val="24"/>
                <w:szCs w:val="24"/>
              </w:rPr>
            </w:pPr>
            <w:r w:rsidRPr="00527287">
              <w:rPr>
                <w:rFonts w:asciiTheme="majorBidi" w:hAnsiTheme="majorBidi" w:cstheme="majorBidi"/>
                <w:i/>
                <w:iCs/>
                <w:sz w:val="24"/>
                <w:szCs w:val="24"/>
              </w:rPr>
              <w:t>Furniture and equipment</w:t>
            </w:r>
          </w:p>
        </w:tc>
        <w:tc>
          <w:tcPr>
            <w:tcW w:w="3894" w:type="dxa"/>
          </w:tcPr>
          <w:p w14:paraId="26E233CE" w14:textId="77777777" w:rsidR="00527287" w:rsidRPr="00527287" w:rsidRDefault="00527287" w:rsidP="009A12BF">
            <w:pPr>
              <w:rPr>
                <w:rFonts w:asciiTheme="majorBidi" w:hAnsiTheme="majorBidi" w:cstheme="majorBidi"/>
                <w:sz w:val="24"/>
                <w:szCs w:val="24"/>
              </w:rPr>
            </w:pPr>
            <w:r w:rsidRPr="00527287">
              <w:rPr>
                <w:rFonts w:asciiTheme="majorBidi" w:hAnsiTheme="majorBidi" w:cstheme="majorBidi"/>
                <w:sz w:val="24"/>
                <w:szCs w:val="24"/>
              </w:rPr>
              <w:t>46590</w:t>
            </w:r>
          </w:p>
        </w:tc>
      </w:tr>
      <w:tr w:rsidR="00527287" w:rsidRPr="00090A66" w14:paraId="453DA462" w14:textId="77777777" w:rsidTr="00893E85">
        <w:tc>
          <w:tcPr>
            <w:tcW w:w="2079" w:type="dxa"/>
          </w:tcPr>
          <w:p w14:paraId="0A0FD33E" w14:textId="77777777" w:rsidR="00527287" w:rsidRPr="00527287" w:rsidRDefault="00527287" w:rsidP="009A12BF">
            <w:pPr>
              <w:rPr>
                <w:rFonts w:asciiTheme="majorBidi" w:hAnsiTheme="majorBidi" w:cstheme="majorBidi"/>
                <w:sz w:val="24"/>
                <w:szCs w:val="24"/>
              </w:rPr>
            </w:pPr>
            <w:r w:rsidRPr="00527287">
              <w:rPr>
                <w:rFonts w:asciiTheme="majorBidi" w:hAnsiTheme="majorBidi" w:cstheme="majorBidi"/>
                <w:sz w:val="24"/>
                <w:szCs w:val="24"/>
              </w:rPr>
              <w:t>1.2</w:t>
            </w:r>
          </w:p>
        </w:tc>
        <w:tc>
          <w:tcPr>
            <w:tcW w:w="3515" w:type="dxa"/>
          </w:tcPr>
          <w:p w14:paraId="1C2799B0" w14:textId="77777777" w:rsidR="00527287" w:rsidRPr="00527287" w:rsidRDefault="00527287" w:rsidP="009A12BF">
            <w:pPr>
              <w:rPr>
                <w:rFonts w:asciiTheme="majorBidi" w:hAnsiTheme="majorBidi" w:cstheme="majorBidi"/>
                <w:i/>
                <w:iCs/>
                <w:sz w:val="24"/>
                <w:szCs w:val="24"/>
              </w:rPr>
            </w:pPr>
            <w:r w:rsidRPr="00527287">
              <w:rPr>
                <w:rFonts w:asciiTheme="majorBidi" w:hAnsiTheme="majorBidi" w:cstheme="majorBidi"/>
                <w:i/>
                <w:iCs/>
                <w:sz w:val="24"/>
                <w:szCs w:val="24"/>
              </w:rPr>
              <w:t>Vehicles</w:t>
            </w:r>
          </w:p>
        </w:tc>
        <w:tc>
          <w:tcPr>
            <w:tcW w:w="3894" w:type="dxa"/>
          </w:tcPr>
          <w:p w14:paraId="363FB633" w14:textId="77777777" w:rsidR="00527287" w:rsidRPr="00527287" w:rsidRDefault="00527287" w:rsidP="009A12BF">
            <w:pPr>
              <w:rPr>
                <w:rFonts w:asciiTheme="majorBidi" w:hAnsiTheme="majorBidi" w:cstheme="majorBidi"/>
                <w:sz w:val="24"/>
                <w:szCs w:val="24"/>
              </w:rPr>
            </w:pPr>
            <w:r w:rsidRPr="00527287">
              <w:rPr>
                <w:rFonts w:asciiTheme="majorBidi" w:hAnsiTheme="majorBidi" w:cstheme="majorBidi"/>
                <w:sz w:val="24"/>
                <w:szCs w:val="24"/>
              </w:rPr>
              <w:t>77020</w:t>
            </w:r>
          </w:p>
        </w:tc>
      </w:tr>
      <w:tr w:rsidR="00527287" w:rsidRPr="00090A66" w14:paraId="4184CDEC" w14:textId="77777777" w:rsidTr="00893E85">
        <w:tc>
          <w:tcPr>
            <w:tcW w:w="2079" w:type="dxa"/>
          </w:tcPr>
          <w:p w14:paraId="68D825FB" w14:textId="77777777" w:rsidR="00527287" w:rsidRPr="00527287" w:rsidRDefault="00527287" w:rsidP="009A12BF">
            <w:pPr>
              <w:rPr>
                <w:rFonts w:asciiTheme="majorBidi" w:hAnsiTheme="majorBidi" w:cstheme="majorBidi"/>
                <w:sz w:val="24"/>
                <w:szCs w:val="24"/>
              </w:rPr>
            </w:pPr>
            <w:r w:rsidRPr="00527287">
              <w:rPr>
                <w:rFonts w:asciiTheme="majorBidi" w:hAnsiTheme="majorBidi" w:cstheme="majorBidi"/>
                <w:sz w:val="24"/>
                <w:szCs w:val="24"/>
              </w:rPr>
              <w:t>1.3</w:t>
            </w:r>
          </w:p>
        </w:tc>
        <w:tc>
          <w:tcPr>
            <w:tcW w:w="3515" w:type="dxa"/>
          </w:tcPr>
          <w:p w14:paraId="4735FAFB" w14:textId="77777777" w:rsidR="00527287" w:rsidRPr="00527287" w:rsidRDefault="00527287" w:rsidP="009A12BF">
            <w:pPr>
              <w:rPr>
                <w:rFonts w:asciiTheme="majorBidi" w:hAnsiTheme="majorBidi" w:cstheme="majorBidi"/>
                <w:i/>
                <w:iCs/>
                <w:sz w:val="24"/>
                <w:szCs w:val="24"/>
              </w:rPr>
            </w:pPr>
            <w:r w:rsidRPr="00527287">
              <w:rPr>
                <w:rFonts w:asciiTheme="majorBidi" w:hAnsiTheme="majorBidi" w:cstheme="majorBidi"/>
                <w:i/>
                <w:iCs/>
                <w:sz w:val="24"/>
                <w:szCs w:val="24"/>
              </w:rPr>
              <w:t>Fixture and installation</w:t>
            </w:r>
          </w:p>
        </w:tc>
        <w:tc>
          <w:tcPr>
            <w:tcW w:w="3894" w:type="dxa"/>
          </w:tcPr>
          <w:p w14:paraId="7CEA3F21" w14:textId="77777777" w:rsidR="00527287" w:rsidRPr="00527287" w:rsidRDefault="00527287" w:rsidP="009A12BF">
            <w:pPr>
              <w:rPr>
                <w:rFonts w:asciiTheme="majorBidi" w:hAnsiTheme="majorBidi" w:cstheme="majorBidi"/>
                <w:sz w:val="24"/>
                <w:szCs w:val="24"/>
              </w:rPr>
            </w:pPr>
            <w:r w:rsidRPr="00527287">
              <w:rPr>
                <w:rFonts w:asciiTheme="majorBidi" w:hAnsiTheme="majorBidi" w:cstheme="majorBidi"/>
                <w:sz w:val="24"/>
                <w:szCs w:val="24"/>
              </w:rPr>
              <w:t>1369</w:t>
            </w:r>
          </w:p>
        </w:tc>
      </w:tr>
      <w:tr w:rsidR="00527287" w:rsidRPr="00090A66" w14:paraId="69D41850" w14:textId="77777777" w:rsidTr="00893E85">
        <w:tc>
          <w:tcPr>
            <w:tcW w:w="2079" w:type="dxa"/>
          </w:tcPr>
          <w:p w14:paraId="1EDCB72B" w14:textId="77777777" w:rsidR="00527287" w:rsidRPr="00527287" w:rsidRDefault="00527287" w:rsidP="009A12BF">
            <w:pPr>
              <w:rPr>
                <w:rFonts w:asciiTheme="majorBidi" w:hAnsiTheme="majorBidi" w:cstheme="majorBidi"/>
                <w:b/>
                <w:bCs/>
                <w:sz w:val="24"/>
                <w:szCs w:val="24"/>
              </w:rPr>
            </w:pPr>
            <w:r w:rsidRPr="00527287">
              <w:rPr>
                <w:rFonts w:asciiTheme="majorBidi" w:hAnsiTheme="majorBidi" w:cstheme="majorBidi"/>
                <w:b/>
                <w:bCs/>
                <w:sz w:val="24"/>
                <w:szCs w:val="24"/>
              </w:rPr>
              <w:t>2</w:t>
            </w:r>
          </w:p>
        </w:tc>
        <w:tc>
          <w:tcPr>
            <w:tcW w:w="3515" w:type="dxa"/>
          </w:tcPr>
          <w:p w14:paraId="146BBDB2" w14:textId="77777777" w:rsidR="00527287" w:rsidRPr="00527287" w:rsidRDefault="00527287" w:rsidP="009A12BF">
            <w:pPr>
              <w:rPr>
                <w:rFonts w:asciiTheme="majorBidi" w:hAnsiTheme="majorBidi" w:cstheme="majorBidi"/>
                <w:b/>
                <w:bCs/>
                <w:sz w:val="24"/>
                <w:szCs w:val="24"/>
              </w:rPr>
            </w:pPr>
            <w:r w:rsidRPr="00527287">
              <w:rPr>
                <w:rFonts w:asciiTheme="majorBidi" w:hAnsiTheme="majorBidi" w:cstheme="majorBidi"/>
                <w:b/>
                <w:bCs/>
                <w:sz w:val="24"/>
                <w:szCs w:val="24"/>
              </w:rPr>
              <w:t>TOTAL</w:t>
            </w:r>
          </w:p>
        </w:tc>
        <w:tc>
          <w:tcPr>
            <w:tcW w:w="3894" w:type="dxa"/>
          </w:tcPr>
          <w:p w14:paraId="04591DAD" w14:textId="20019BD0" w:rsidR="00527287" w:rsidRPr="00527287" w:rsidRDefault="00527287" w:rsidP="009A12BF">
            <w:pPr>
              <w:rPr>
                <w:rFonts w:asciiTheme="majorBidi" w:hAnsiTheme="majorBidi" w:cstheme="majorBidi"/>
                <w:b/>
                <w:bCs/>
                <w:sz w:val="24"/>
                <w:szCs w:val="24"/>
              </w:rPr>
            </w:pPr>
            <w:r w:rsidRPr="00527287">
              <w:rPr>
                <w:rFonts w:asciiTheme="majorBidi" w:hAnsiTheme="majorBidi" w:cstheme="majorBidi"/>
                <w:b/>
                <w:bCs/>
                <w:sz w:val="24"/>
                <w:szCs w:val="24"/>
              </w:rPr>
              <w:t>1249</w:t>
            </w:r>
            <w:r w:rsidR="00F15FC3">
              <w:rPr>
                <w:rFonts w:asciiTheme="majorBidi" w:hAnsiTheme="majorBidi" w:cstheme="majorBidi"/>
                <w:b/>
                <w:bCs/>
                <w:sz w:val="24"/>
                <w:szCs w:val="24"/>
                <w:lang w:val="en-US"/>
              </w:rPr>
              <w:t>7</w:t>
            </w:r>
            <w:r w:rsidRPr="00527287">
              <w:rPr>
                <w:rFonts w:asciiTheme="majorBidi" w:hAnsiTheme="majorBidi" w:cstheme="majorBidi"/>
                <w:b/>
                <w:bCs/>
                <w:sz w:val="24"/>
                <w:szCs w:val="24"/>
              </w:rPr>
              <w:t>9</w:t>
            </w:r>
          </w:p>
        </w:tc>
      </w:tr>
    </w:tbl>
    <w:p w14:paraId="08B5A42F" w14:textId="77777777" w:rsidR="00BF0471" w:rsidRDefault="00BF0471" w:rsidP="00BF0471">
      <w:pPr>
        <w:pStyle w:val="a3"/>
        <w:tabs>
          <w:tab w:val="left" w:pos="426"/>
          <w:tab w:val="left" w:pos="993"/>
        </w:tabs>
        <w:spacing w:after="0"/>
        <w:ind w:left="0"/>
        <w:jc w:val="both"/>
        <w:rPr>
          <w:rFonts w:asciiTheme="majorBidi" w:hAnsiTheme="majorBidi" w:cstheme="majorBidi"/>
          <w:b/>
          <w:bCs/>
          <w:sz w:val="24"/>
          <w:szCs w:val="24"/>
        </w:rPr>
      </w:pPr>
    </w:p>
    <w:p w14:paraId="227974F9" w14:textId="4CC9CEB6" w:rsidR="00BB6BCE" w:rsidRPr="00BB6BCE" w:rsidRDefault="00BB6BCE" w:rsidP="00BB6BCE">
      <w:pPr>
        <w:pStyle w:val="a3"/>
        <w:tabs>
          <w:tab w:val="left" w:pos="426"/>
          <w:tab w:val="left" w:pos="993"/>
        </w:tabs>
        <w:spacing w:after="0"/>
        <w:ind w:left="0"/>
        <w:jc w:val="both"/>
        <w:rPr>
          <w:rFonts w:asciiTheme="majorBidi" w:hAnsiTheme="majorBidi" w:cstheme="majorBidi"/>
          <w:sz w:val="24"/>
          <w:szCs w:val="24"/>
          <w:lang w:val="fr-FR"/>
        </w:rPr>
      </w:pPr>
      <w:r w:rsidRPr="00BB6BCE">
        <w:rPr>
          <w:rFonts w:asciiTheme="majorBidi" w:hAnsiTheme="majorBidi" w:cstheme="majorBidi"/>
          <w:sz w:val="24"/>
          <w:szCs w:val="24"/>
          <w:lang w:val="fr-FR"/>
        </w:rPr>
        <w:t>Au cours de l'année considérée, l'Organisation a acheté à des fins administratives</w:t>
      </w:r>
      <w:r>
        <w:rPr>
          <w:rFonts w:asciiTheme="majorBidi" w:hAnsiTheme="majorBidi" w:cstheme="majorBidi"/>
          <w:sz w:val="24"/>
          <w:szCs w:val="24"/>
          <w:lang w:val="fr-FR"/>
        </w:rPr>
        <w:t xml:space="preserve"> </w:t>
      </w:r>
      <w:r w:rsidRPr="00BB6BCE">
        <w:rPr>
          <w:rFonts w:asciiTheme="majorBidi" w:hAnsiTheme="majorBidi" w:cstheme="majorBidi"/>
          <w:sz w:val="24"/>
          <w:szCs w:val="24"/>
          <w:lang w:val="fr-FR"/>
        </w:rPr>
        <w:t xml:space="preserve">: </w:t>
      </w:r>
      <w:r w:rsidRPr="00BB6BCE">
        <w:rPr>
          <w:rFonts w:asciiTheme="majorBidi" w:hAnsiTheme="majorBidi" w:cstheme="majorBidi"/>
          <w:b/>
          <w:bCs/>
          <w:sz w:val="24"/>
          <w:szCs w:val="24"/>
          <w:lang w:val="fr-FR"/>
        </w:rPr>
        <w:t>du matériel de bureau, du mobilier, des instruments et des accessoires pour un montant de 46 590 dollars des E-U</w:t>
      </w:r>
      <w:r w:rsidRPr="00BB6BCE">
        <w:rPr>
          <w:rFonts w:asciiTheme="majorBidi" w:hAnsiTheme="majorBidi" w:cstheme="majorBidi"/>
          <w:sz w:val="24"/>
          <w:szCs w:val="24"/>
          <w:lang w:val="fr-FR"/>
        </w:rPr>
        <w:t xml:space="preserve">., ainsi que des paiements </w:t>
      </w:r>
      <w:r w:rsidRPr="00BB6BCE">
        <w:rPr>
          <w:rFonts w:asciiTheme="majorBidi" w:hAnsiTheme="majorBidi" w:cstheme="majorBidi"/>
          <w:b/>
          <w:bCs/>
          <w:sz w:val="24"/>
          <w:szCs w:val="24"/>
          <w:lang w:val="fr-FR"/>
        </w:rPr>
        <w:t>pour les services de livraison, l'installation des articles ci-dessus pour un montant de 1 369 dollars des E-U</w:t>
      </w:r>
      <w:r w:rsidRPr="00BB6BCE">
        <w:rPr>
          <w:rFonts w:asciiTheme="majorBidi" w:hAnsiTheme="majorBidi" w:cstheme="majorBidi"/>
          <w:sz w:val="24"/>
          <w:szCs w:val="24"/>
          <w:lang w:val="fr-FR"/>
        </w:rPr>
        <w:t>. L'inventaire et les accessoires comprennent des articles qui créent des conditions de travail confortables pour les employés pour l’exécution efficace et de haute qualité des fonctions officielles.</w:t>
      </w:r>
    </w:p>
    <w:p w14:paraId="2E58C432" w14:textId="288932CD" w:rsidR="00D126CC" w:rsidRPr="00BB6BCE" w:rsidRDefault="00BB6BCE" w:rsidP="00BB6BCE">
      <w:pPr>
        <w:pStyle w:val="a3"/>
        <w:tabs>
          <w:tab w:val="left" w:pos="426"/>
          <w:tab w:val="left" w:pos="993"/>
        </w:tabs>
        <w:spacing w:after="0"/>
        <w:ind w:left="0"/>
        <w:jc w:val="both"/>
        <w:rPr>
          <w:rFonts w:asciiTheme="majorBidi" w:hAnsiTheme="majorBidi" w:cstheme="majorBidi"/>
          <w:b/>
          <w:bCs/>
          <w:sz w:val="24"/>
          <w:szCs w:val="24"/>
          <w:lang w:val="fr-FR"/>
        </w:rPr>
      </w:pPr>
      <w:r w:rsidRPr="00BB6BCE">
        <w:rPr>
          <w:rFonts w:asciiTheme="majorBidi" w:hAnsiTheme="majorBidi" w:cstheme="majorBidi"/>
          <w:sz w:val="24"/>
          <w:szCs w:val="24"/>
          <w:lang w:val="fr-FR"/>
        </w:rPr>
        <w:t xml:space="preserve">En 2019, </w:t>
      </w:r>
      <w:r w:rsidRPr="00BB6BCE">
        <w:rPr>
          <w:rFonts w:asciiTheme="majorBidi" w:hAnsiTheme="majorBidi" w:cstheme="majorBidi"/>
          <w:b/>
          <w:bCs/>
          <w:sz w:val="24"/>
          <w:szCs w:val="24"/>
          <w:lang w:val="fr-FR"/>
        </w:rPr>
        <w:t>le paiement de 77 020 dollars américains a été effectué pour l'achat de la BMW 750i Drive Limousine officielle, le véhicule de l'année modèle 2019</w:t>
      </w:r>
      <w:r w:rsidR="00D126CC" w:rsidRPr="00BB6BCE">
        <w:rPr>
          <w:rFonts w:asciiTheme="majorBidi" w:hAnsiTheme="majorBidi" w:cstheme="majorBidi"/>
          <w:b/>
          <w:bCs/>
          <w:sz w:val="24"/>
          <w:szCs w:val="24"/>
          <w:lang w:val="fr-FR"/>
        </w:rPr>
        <w:t>.</w:t>
      </w:r>
    </w:p>
    <w:p w14:paraId="1E6B77B3" w14:textId="77777777" w:rsidR="001B55C3" w:rsidRPr="00BB6BCE" w:rsidRDefault="001B55C3" w:rsidP="00C50796">
      <w:pPr>
        <w:pStyle w:val="a3"/>
        <w:tabs>
          <w:tab w:val="left" w:pos="426"/>
          <w:tab w:val="left" w:pos="993"/>
        </w:tabs>
        <w:spacing w:after="0"/>
        <w:ind w:left="0" w:firstLine="284"/>
        <w:jc w:val="both"/>
        <w:rPr>
          <w:rFonts w:asciiTheme="majorBidi" w:hAnsiTheme="majorBidi" w:cstheme="majorBidi"/>
          <w:b/>
          <w:bCs/>
          <w:sz w:val="24"/>
          <w:szCs w:val="24"/>
          <w:lang w:val="fr-FR"/>
        </w:rPr>
      </w:pPr>
    </w:p>
    <w:p w14:paraId="1BDBD716" w14:textId="7945FFF9" w:rsidR="001B55C3" w:rsidRPr="00BB6BCE" w:rsidRDefault="00BB6BCE" w:rsidP="005541AC">
      <w:pPr>
        <w:pStyle w:val="a3"/>
        <w:tabs>
          <w:tab w:val="left" w:pos="426"/>
          <w:tab w:val="left" w:pos="993"/>
        </w:tabs>
        <w:spacing w:after="0"/>
        <w:ind w:left="0"/>
        <w:jc w:val="both"/>
        <w:rPr>
          <w:rFonts w:asciiTheme="majorBidi" w:hAnsiTheme="majorBidi" w:cstheme="majorBidi"/>
          <w:b/>
          <w:bCs/>
          <w:sz w:val="24"/>
          <w:szCs w:val="24"/>
          <w:lang w:val="fr-FR"/>
        </w:rPr>
      </w:pPr>
      <w:r w:rsidRPr="00BB6BCE">
        <w:rPr>
          <w:rFonts w:asciiTheme="majorBidi" w:hAnsiTheme="majorBidi" w:cstheme="majorBidi"/>
          <w:b/>
          <w:bCs/>
          <w:sz w:val="24"/>
          <w:szCs w:val="24"/>
          <w:lang w:val="fr-FR"/>
        </w:rPr>
        <w:t>Le tableau N° 1 montre que l'article de dépenses N° 4 «</w:t>
      </w:r>
      <w:r w:rsidR="00CA460E">
        <w:rPr>
          <w:rFonts w:asciiTheme="majorBidi" w:hAnsiTheme="majorBidi" w:cstheme="majorBidi"/>
          <w:b/>
          <w:bCs/>
          <w:sz w:val="24"/>
          <w:szCs w:val="24"/>
          <w:lang w:val="fr-FR"/>
        </w:rPr>
        <w:t xml:space="preserve"> </w:t>
      </w:r>
      <w:r w:rsidRPr="00BB6BCE">
        <w:rPr>
          <w:rFonts w:asciiTheme="majorBidi" w:hAnsiTheme="majorBidi" w:cstheme="majorBidi"/>
          <w:b/>
          <w:bCs/>
          <w:sz w:val="24"/>
          <w:szCs w:val="24"/>
          <w:lang w:val="fr-FR"/>
        </w:rPr>
        <w:t>CONFÉRENCES ET RÉUNIONS</w:t>
      </w:r>
      <w:r w:rsidR="00CA460E">
        <w:rPr>
          <w:rFonts w:asciiTheme="majorBidi" w:hAnsiTheme="majorBidi" w:cstheme="majorBidi"/>
          <w:b/>
          <w:bCs/>
          <w:sz w:val="24"/>
          <w:szCs w:val="24"/>
          <w:lang w:val="fr-FR"/>
        </w:rPr>
        <w:t xml:space="preserve"> </w:t>
      </w:r>
      <w:r w:rsidRPr="00BB6BCE">
        <w:rPr>
          <w:rFonts w:asciiTheme="majorBidi" w:hAnsiTheme="majorBidi" w:cstheme="majorBidi"/>
          <w:b/>
          <w:bCs/>
          <w:sz w:val="24"/>
          <w:szCs w:val="24"/>
          <w:lang w:val="fr-FR"/>
        </w:rPr>
        <w:t xml:space="preserve">» s'élève à 41 600 dollars </w:t>
      </w:r>
      <w:r w:rsidRPr="00893E85">
        <w:rPr>
          <w:rFonts w:asciiTheme="majorBidi" w:hAnsiTheme="majorBidi" w:cstheme="majorBidi"/>
          <w:b/>
          <w:bCs/>
          <w:sz w:val="24"/>
          <w:szCs w:val="24"/>
          <w:lang w:val="fr-FR"/>
        </w:rPr>
        <w:t>américains</w:t>
      </w:r>
      <w:r w:rsidRPr="00BB6BCE">
        <w:rPr>
          <w:rFonts w:asciiTheme="majorBidi" w:hAnsiTheme="majorBidi" w:cstheme="majorBidi"/>
          <w:b/>
          <w:bCs/>
          <w:sz w:val="24"/>
          <w:szCs w:val="24"/>
          <w:lang w:val="fr-FR"/>
        </w:rPr>
        <w:t>.</w:t>
      </w:r>
    </w:p>
    <w:p w14:paraId="5BD71E4A" w14:textId="77777777" w:rsidR="00FE6558" w:rsidRPr="00BB6BCE" w:rsidRDefault="00FE6558" w:rsidP="001B55C3">
      <w:pPr>
        <w:pStyle w:val="a3"/>
        <w:tabs>
          <w:tab w:val="left" w:pos="426"/>
          <w:tab w:val="left" w:pos="993"/>
        </w:tabs>
        <w:spacing w:after="0"/>
        <w:ind w:left="0" w:firstLine="284"/>
        <w:jc w:val="both"/>
        <w:rPr>
          <w:rFonts w:asciiTheme="majorBidi" w:hAnsiTheme="majorBidi" w:cstheme="majorBidi"/>
          <w:b/>
          <w:bCs/>
          <w:sz w:val="24"/>
          <w:szCs w:val="24"/>
          <w:lang w:val="fr-FR"/>
        </w:rPr>
      </w:pPr>
    </w:p>
    <w:tbl>
      <w:tblPr>
        <w:tblStyle w:val="a4"/>
        <w:tblW w:w="9464" w:type="dxa"/>
        <w:tblLook w:val="04A0" w:firstRow="1" w:lastRow="0" w:firstColumn="1" w:lastColumn="0" w:noHBand="0" w:noVBand="1"/>
      </w:tblPr>
      <w:tblGrid>
        <w:gridCol w:w="1809"/>
        <w:gridCol w:w="4253"/>
        <w:gridCol w:w="3402"/>
      </w:tblGrid>
      <w:tr w:rsidR="00BB6BCE" w:rsidRPr="00F15FC3" w14:paraId="43A21A7C" w14:textId="77777777" w:rsidTr="00636236">
        <w:tc>
          <w:tcPr>
            <w:tcW w:w="1809" w:type="dxa"/>
          </w:tcPr>
          <w:p w14:paraId="66B1D8AB" w14:textId="6CDAEBC4" w:rsidR="00BB6BCE" w:rsidRPr="00636236" w:rsidRDefault="00BB6BCE" w:rsidP="00BB6BCE">
            <w:pPr>
              <w:rPr>
                <w:rFonts w:asciiTheme="majorBidi" w:hAnsiTheme="majorBidi" w:cstheme="majorBidi"/>
                <w:b/>
                <w:bCs/>
                <w:sz w:val="24"/>
                <w:szCs w:val="24"/>
              </w:rPr>
            </w:pPr>
            <w:r w:rsidRPr="006F1AA3">
              <w:rPr>
                <w:rFonts w:asciiTheme="majorBidi" w:hAnsiTheme="majorBidi" w:cstheme="majorBidi"/>
                <w:b/>
                <w:bCs/>
                <w:sz w:val="24"/>
                <w:szCs w:val="24"/>
                <w:lang w:val="en-GB"/>
              </w:rPr>
              <w:t>No.</w:t>
            </w:r>
            <w:r>
              <w:t xml:space="preserve"> </w:t>
            </w:r>
            <w:r>
              <w:rPr>
                <w:rFonts w:asciiTheme="majorBidi" w:hAnsiTheme="majorBidi" w:cstheme="majorBidi"/>
                <w:b/>
                <w:bCs/>
                <w:sz w:val="24"/>
                <w:szCs w:val="24"/>
                <w:lang w:val="en-GB"/>
              </w:rPr>
              <w:t>en</w:t>
            </w:r>
            <w:r w:rsidRPr="001B7B25">
              <w:rPr>
                <w:rFonts w:asciiTheme="majorBidi" w:hAnsiTheme="majorBidi" w:cstheme="majorBidi"/>
                <w:b/>
                <w:bCs/>
                <w:sz w:val="24"/>
                <w:szCs w:val="24"/>
                <w:lang w:val="en-GB"/>
              </w:rPr>
              <w:t xml:space="preserve"> séquence</w:t>
            </w:r>
          </w:p>
        </w:tc>
        <w:tc>
          <w:tcPr>
            <w:tcW w:w="4253" w:type="dxa"/>
          </w:tcPr>
          <w:p w14:paraId="4FD20584" w14:textId="2FF0EE0C" w:rsidR="00BB6BCE" w:rsidRPr="00636236" w:rsidRDefault="00BB6BCE" w:rsidP="00BB6BCE">
            <w:pPr>
              <w:rPr>
                <w:rFonts w:asciiTheme="majorBidi" w:hAnsiTheme="majorBidi" w:cstheme="majorBidi"/>
                <w:b/>
                <w:bCs/>
                <w:sz w:val="24"/>
                <w:szCs w:val="24"/>
              </w:rPr>
            </w:pPr>
            <w:r w:rsidRPr="001B7B25">
              <w:rPr>
                <w:rFonts w:asciiTheme="majorBidi" w:hAnsiTheme="majorBidi" w:cstheme="majorBidi"/>
                <w:b/>
                <w:bCs/>
                <w:sz w:val="24"/>
                <w:szCs w:val="24"/>
                <w:lang w:val="en-GB"/>
              </w:rPr>
              <w:t>TITRES</w:t>
            </w:r>
          </w:p>
        </w:tc>
        <w:tc>
          <w:tcPr>
            <w:tcW w:w="3402" w:type="dxa"/>
          </w:tcPr>
          <w:p w14:paraId="472A7A49" w14:textId="2F9E5CB6" w:rsidR="00BB6BCE" w:rsidRPr="00BB6BCE" w:rsidRDefault="00BB6BCE" w:rsidP="00BB6BCE">
            <w:pPr>
              <w:rPr>
                <w:rFonts w:asciiTheme="majorBidi" w:hAnsiTheme="majorBidi" w:cstheme="majorBidi"/>
                <w:b/>
                <w:bCs/>
                <w:sz w:val="24"/>
                <w:szCs w:val="24"/>
                <w:lang w:val="fr-FR"/>
              </w:rPr>
            </w:pPr>
            <w:r w:rsidRPr="00D5735A">
              <w:rPr>
                <w:rFonts w:asciiTheme="majorBidi" w:hAnsiTheme="majorBidi" w:cstheme="majorBidi"/>
                <w:b/>
                <w:bCs/>
                <w:sz w:val="24"/>
                <w:szCs w:val="24"/>
                <w:lang w:val="fr-FR"/>
              </w:rPr>
              <w:t xml:space="preserve">Dépenses en espèces et bancaires </w:t>
            </w:r>
            <w:r w:rsidRPr="001B7B25">
              <w:rPr>
                <w:rFonts w:asciiTheme="majorBidi" w:hAnsiTheme="majorBidi" w:cstheme="majorBidi"/>
                <w:b/>
                <w:bCs/>
                <w:sz w:val="24"/>
                <w:szCs w:val="24"/>
                <w:lang w:val="fr-FR"/>
              </w:rPr>
              <w:t>(dollar</w:t>
            </w:r>
            <w:r>
              <w:rPr>
                <w:rFonts w:asciiTheme="majorBidi" w:hAnsiTheme="majorBidi" w:cstheme="majorBidi"/>
                <w:b/>
                <w:bCs/>
                <w:sz w:val="24"/>
                <w:szCs w:val="24"/>
                <w:lang w:val="fr-FR"/>
              </w:rPr>
              <w:t>s</w:t>
            </w:r>
            <w:r w:rsidRPr="001B7B25">
              <w:rPr>
                <w:rFonts w:asciiTheme="majorBidi" w:hAnsiTheme="majorBidi" w:cstheme="majorBidi"/>
                <w:b/>
                <w:bCs/>
                <w:sz w:val="24"/>
                <w:szCs w:val="24"/>
                <w:lang w:val="fr-FR"/>
              </w:rPr>
              <w:t xml:space="preserve"> </w:t>
            </w:r>
            <w:r w:rsidRPr="00893E85">
              <w:rPr>
                <w:rFonts w:asciiTheme="majorBidi" w:hAnsiTheme="majorBidi" w:cstheme="majorBidi"/>
                <w:b/>
                <w:bCs/>
                <w:sz w:val="24"/>
                <w:szCs w:val="24"/>
                <w:lang w:val="fr-FR"/>
              </w:rPr>
              <w:t>américains</w:t>
            </w:r>
            <w:r w:rsidRPr="001B7B25">
              <w:rPr>
                <w:rFonts w:asciiTheme="majorBidi" w:hAnsiTheme="majorBidi" w:cstheme="majorBidi"/>
                <w:b/>
                <w:bCs/>
                <w:sz w:val="24"/>
                <w:szCs w:val="24"/>
                <w:lang w:val="fr-FR"/>
              </w:rPr>
              <w:t>)</w:t>
            </w:r>
          </w:p>
        </w:tc>
      </w:tr>
      <w:tr w:rsidR="00BB6BCE" w14:paraId="44E17195" w14:textId="77777777" w:rsidTr="00636236">
        <w:tc>
          <w:tcPr>
            <w:tcW w:w="1809" w:type="dxa"/>
          </w:tcPr>
          <w:p w14:paraId="3CDEEA54" w14:textId="77777777" w:rsidR="00BB6BCE" w:rsidRPr="00636236" w:rsidRDefault="00BB6BCE" w:rsidP="00BB6BCE">
            <w:pPr>
              <w:rPr>
                <w:rFonts w:asciiTheme="majorBidi" w:hAnsiTheme="majorBidi" w:cstheme="majorBidi"/>
                <w:b/>
                <w:bCs/>
                <w:sz w:val="24"/>
                <w:szCs w:val="24"/>
              </w:rPr>
            </w:pPr>
            <w:r w:rsidRPr="00636236">
              <w:rPr>
                <w:rFonts w:asciiTheme="majorBidi" w:hAnsiTheme="majorBidi" w:cstheme="majorBidi"/>
                <w:b/>
                <w:bCs/>
                <w:sz w:val="24"/>
                <w:szCs w:val="24"/>
              </w:rPr>
              <w:t>1</w:t>
            </w:r>
          </w:p>
        </w:tc>
        <w:tc>
          <w:tcPr>
            <w:tcW w:w="4253" w:type="dxa"/>
          </w:tcPr>
          <w:p w14:paraId="4ED065D7" w14:textId="6D75B5ED" w:rsidR="00BB6BCE" w:rsidRPr="00BB6BCE" w:rsidRDefault="00BB6BCE" w:rsidP="00BB6BCE">
            <w:pPr>
              <w:rPr>
                <w:rFonts w:ascii="Times New Roman" w:hAnsi="Times New Roman" w:cs="Times New Roman"/>
                <w:b/>
                <w:bCs/>
                <w:sz w:val="24"/>
                <w:szCs w:val="24"/>
              </w:rPr>
            </w:pPr>
            <w:r w:rsidRPr="00BB6BCE">
              <w:rPr>
                <w:rFonts w:ascii="Times New Roman" w:hAnsi="Times New Roman" w:cs="Times New Roman"/>
                <w:b/>
                <w:bCs/>
              </w:rPr>
              <w:t>Conférences et réunions institutionnelles</w:t>
            </w:r>
          </w:p>
        </w:tc>
        <w:tc>
          <w:tcPr>
            <w:tcW w:w="3402" w:type="dxa"/>
          </w:tcPr>
          <w:p w14:paraId="2BDFD454" w14:textId="77777777" w:rsidR="00BB6BCE" w:rsidRPr="00636236" w:rsidRDefault="00BB6BCE" w:rsidP="00BB6BCE">
            <w:pPr>
              <w:rPr>
                <w:rFonts w:asciiTheme="majorBidi" w:hAnsiTheme="majorBidi" w:cstheme="majorBidi"/>
                <w:b/>
                <w:bCs/>
                <w:sz w:val="24"/>
                <w:szCs w:val="24"/>
              </w:rPr>
            </w:pPr>
            <w:r w:rsidRPr="00636236">
              <w:rPr>
                <w:rFonts w:asciiTheme="majorBidi" w:hAnsiTheme="majorBidi" w:cstheme="majorBidi"/>
                <w:b/>
                <w:bCs/>
                <w:sz w:val="24"/>
                <w:szCs w:val="24"/>
              </w:rPr>
              <w:t>18621</w:t>
            </w:r>
          </w:p>
        </w:tc>
      </w:tr>
      <w:tr w:rsidR="00BB6BCE" w14:paraId="5DD5C956" w14:textId="77777777" w:rsidTr="00636236">
        <w:tc>
          <w:tcPr>
            <w:tcW w:w="1809" w:type="dxa"/>
          </w:tcPr>
          <w:p w14:paraId="17CF3D85" w14:textId="77777777" w:rsidR="00BB6BCE" w:rsidRPr="00636236" w:rsidRDefault="00BB6BCE" w:rsidP="00BB6BCE">
            <w:pPr>
              <w:rPr>
                <w:rFonts w:asciiTheme="majorBidi" w:hAnsiTheme="majorBidi" w:cstheme="majorBidi"/>
                <w:sz w:val="24"/>
                <w:szCs w:val="24"/>
              </w:rPr>
            </w:pPr>
            <w:r w:rsidRPr="00636236">
              <w:rPr>
                <w:rFonts w:asciiTheme="majorBidi" w:hAnsiTheme="majorBidi" w:cstheme="majorBidi"/>
                <w:sz w:val="24"/>
                <w:szCs w:val="24"/>
              </w:rPr>
              <w:t>1.1</w:t>
            </w:r>
          </w:p>
        </w:tc>
        <w:tc>
          <w:tcPr>
            <w:tcW w:w="4253" w:type="dxa"/>
          </w:tcPr>
          <w:p w14:paraId="0477C95F" w14:textId="0E9977F9" w:rsidR="00BB6BCE" w:rsidRPr="00BB6BCE" w:rsidRDefault="00BB6BCE" w:rsidP="00BB6BCE">
            <w:pPr>
              <w:rPr>
                <w:rFonts w:ascii="Times New Roman" w:hAnsi="Times New Roman" w:cs="Times New Roman"/>
                <w:sz w:val="24"/>
                <w:szCs w:val="24"/>
              </w:rPr>
            </w:pPr>
            <w:r w:rsidRPr="00BB6BCE">
              <w:rPr>
                <w:rFonts w:ascii="Times New Roman" w:hAnsi="Times New Roman" w:cs="Times New Roman"/>
              </w:rPr>
              <w:t>Des billets d'avion</w:t>
            </w:r>
          </w:p>
        </w:tc>
        <w:tc>
          <w:tcPr>
            <w:tcW w:w="3402" w:type="dxa"/>
          </w:tcPr>
          <w:p w14:paraId="027501E1" w14:textId="77777777" w:rsidR="00BB6BCE" w:rsidRPr="00636236" w:rsidRDefault="00BB6BCE" w:rsidP="00BB6BCE">
            <w:pPr>
              <w:rPr>
                <w:rFonts w:asciiTheme="majorBidi" w:hAnsiTheme="majorBidi" w:cstheme="majorBidi"/>
                <w:sz w:val="24"/>
                <w:szCs w:val="24"/>
              </w:rPr>
            </w:pPr>
            <w:r w:rsidRPr="00636236">
              <w:rPr>
                <w:rFonts w:asciiTheme="majorBidi" w:hAnsiTheme="majorBidi" w:cstheme="majorBidi"/>
                <w:sz w:val="24"/>
                <w:szCs w:val="24"/>
              </w:rPr>
              <w:t>13894</w:t>
            </w:r>
          </w:p>
        </w:tc>
      </w:tr>
      <w:tr w:rsidR="00BB6BCE" w14:paraId="2BAB5F71" w14:textId="77777777" w:rsidTr="00636236">
        <w:tc>
          <w:tcPr>
            <w:tcW w:w="1809" w:type="dxa"/>
          </w:tcPr>
          <w:p w14:paraId="6D99D5B6" w14:textId="77777777" w:rsidR="00BB6BCE" w:rsidRPr="00636236" w:rsidRDefault="00BB6BCE" w:rsidP="00BB6BCE">
            <w:pPr>
              <w:rPr>
                <w:rFonts w:asciiTheme="majorBidi" w:hAnsiTheme="majorBidi" w:cstheme="majorBidi"/>
                <w:sz w:val="24"/>
                <w:szCs w:val="24"/>
              </w:rPr>
            </w:pPr>
            <w:r w:rsidRPr="00636236">
              <w:rPr>
                <w:rFonts w:asciiTheme="majorBidi" w:hAnsiTheme="majorBidi" w:cstheme="majorBidi"/>
                <w:sz w:val="24"/>
                <w:szCs w:val="24"/>
              </w:rPr>
              <w:t>1.2</w:t>
            </w:r>
          </w:p>
        </w:tc>
        <w:tc>
          <w:tcPr>
            <w:tcW w:w="4253" w:type="dxa"/>
          </w:tcPr>
          <w:p w14:paraId="41A8A66C" w14:textId="7501CA2D" w:rsidR="00BB6BCE" w:rsidRPr="00BB6BCE" w:rsidRDefault="00BB6BCE" w:rsidP="00BB6BCE">
            <w:pPr>
              <w:rPr>
                <w:rFonts w:ascii="Times New Roman" w:hAnsi="Times New Roman" w:cs="Times New Roman"/>
                <w:sz w:val="24"/>
                <w:szCs w:val="24"/>
                <w:lang w:val="fr-FR"/>
              </w:rPr>
            </w:pPr>
            <w:r w:rsidRPr="00BB6BCE">
              <w:rPr>
                <w:rFonts w:ascii="Times New Roman" w:hAnsi="Times New Roman" w:cs="Times New Roman"/>
                <w:lang w:val="fr-FR"/>
              </w:rPr>
              <w:t>Impression et documents de transport</w:t>
            </w:r>
          </w:p>
        </w:tc>
        <w:tc>
          <w:tcPr>
            <w:tcW w:w="3402" w:type="dxa"/>
          </w:tcPr>
          <w:p w14:paraId="7E054816" w14:textId="77777777" w:rsidR="00BB6BCE" w:rsidRPr="00636236" w:rsidRDefault="00BB6BCE" w:rsidP="00BB6BCE">
            <w:pPr>
              <w:rPr>
                <w:rFonts w:asciiTheme="majorBidi" w:hAnsiTheme="majorBidi" w:cstheme="majorBidi"/>
                <w:sz w:val="24"/>
                <w:szCs w:val="24"/>
              </w:rPr>
            </w:pPr>
            <w:r w:rsidRPr="00636236">
              <w:rPr>
                <w:rFonts w:asciiTheme="majorBidi" w:hAnsiTheme="majorBidi" w:cstheme="majorBidi"/>
                <w:sz w:val="24"/>
                <w:szCs w:val="24"/>
              </w:rPr>
              <w:t>4727</w:t>
            </w:r>
          </w:p>
        </w:tc>
      </w:tr>
      <w:tr w:rsidR="00BB6BCE" w14:paraId="6CDDE0B6" w14:textId="77777777" w:rsidTr="00636236">
        <w:tc>
          <w:tcPr>
            <w:tcW w:w="1809" w:type="dxa"/>
          </w:tcPr>
          <w:p w14:paraId="687937CF" w14:textId="77777777" w:rsidR="00BB6BCE" w:rsidRPr="00636236" w:rsidRDefault="00BB6BCE" w:rsidP="00BB6BCE">
            <w:pPr>
              <w:rPr>
                <w:rFonts w:asciiTheme="majorBidi" w:hAnsiTheme="majorBidi" w:cstheme="majorBidi"/>
                <w:b/>
                <w:bCs/>
                <w:sz w:val="24"/>
                <w:szCs w:val="24"/>
              </w:rPr>
            </w:pPr>
            <w:r w:rsidRPr="00636236">
              <w:rPr>
                <w:rFonts w:asciiTheme="majorBidi" w:hAnsiTheme="majorBidi" w:cstheme="majorBidi"/>
                <w:b/>
                <w:bCs/>
                <w:sz w:val="24"/>
                <w:szCs w:val="24"/>
              </w:rPr>
              <w:t>2</w:t>
            </w:r>
          </w:p>
        </w:tc>
        <w:tc>
          <w:tcPr>
            <w:tcW w:w="4253" w:type="dxa"/>
          </w:tcPr>
          <w:p w14:paraId="0D5EDE2A" w14:textId="42821BA2" w:rsidR="00BB6BCE" w:rsidRPr="00BB6BCE" w:rsidRDefault="00BB6BCE" w:rsidP="00BB6BCE">
            <w:pPr>
              <w:rPr>
                <w:rFonts w:ascii="Times New Roman" w:hAnsi="Times New Roman" w:cs="Times New Roman"/>
                <w:b/>
                <w:bCs/>
                <w:sz w:val="24"/>
                <w:szCs w:val="24"/>
              </w:rPr>
            </w:pPr>
            <w:r w:rsidRPr="00BB6BCE">
              <w:rPr>
                <w:rFonts w:ascii="Times New Roman" w:hAnsi="Times New Roman" w:cs="Times New Roman"/>
                <w:b/>
                <w:bCs/>
              </w:rPr>
              <w:t>Réunions du Conseil</w:t>
            </w:r>
          </w:p>
        </w:tc>
        <w:tc>
          <w:tcPr>
            <w:tcW w:w="3402" w:type="dxa"/>
          </w:tcPr>
          <w:p w14:paraId="0B7D9C32" w14:textId="77777777" w:rsidR="00BB6BCE" w:rsidRPr="00636236" w:rsidRDefault="00BB6BCE" w:rsidP="00BB6BCE">
            <w:pPr>
              <w:rPr>
                <w:rFonts w:asciiTheme="majorBidi" w:hAnsiTheme="majorBidi" w:cstheme="majorBidi"/>
                <w:b/>
                <w:bCs/>
                <w:sz w:val="24"/>
                <w:szCs w:val="24"/>
              </w:rPr>
            </w:pPr>
            <w:r w:rsidRPr="00636236">
              <w:rPr>
                <w:rFonts w:asciiTheme="majorBidi" w:hAnsiTheme="majorBidi" w:cstheme="majorBidi"/>
                <w:b/>
                <w:bCs/>
                <w:sz w:val="24"/>
                <w:szCs w:val="24"/>
              </w:rPr>
              <w:t>22979</w:t>
            </w:r>
          </w:p>
        </w:tc>
      </w:tr>
      <w:tr w:rsidR="00BB6BCE" w14:paraId="2A2C259C" w14:textId="77777777" w:rsidTr="00636236">
        <w:tc>
          <w:tcPr>
            <w:tcW w:w="1809" w:type="dxa"/>
          </w:tcPr>
          <w:p w14:paraId="170288F3" w14:textId="77777777" w:rsidR="00BB6BCE" w:rsidRPr="00636236" w:rsidRDefault="00BB6BCE" w:rsidP="00BB6BCE">
            <w:pPr>
              <w:rPr>
                <w:rFonts w:asciiTheme="majorBidi" w:hAnsiTheme="majorBidi" w:cstheme="majorBidi"/>
                <w:sz w:val="24"/>
                <w:szCs w:val="24"/>
              </w:rPr>
            </w:pPr>
            <w:r w:rsidRPr="00636236">
              <w:rPr>
                <w:rFonts w:asciiTheme="majorBidi" w:hAnsiTheme="majorBidi" w:cstheme="majorBidi"/>
                <w:sz w:val="24"/>
                <w:szCs w:val="24"/>
              </w:rPr>
              <w:t>2.1</w:t>
            </w:r>
          </w:p>
        </w:tc>
        <w:tc>
          <w:tcPr>
            <w:tcW w:w="4253" w:type="dxa"/>
          </w:tcPr>
          <w:p w14:paraId="574C9C3B" w14:textId="647A567B" w:rsidR="00BB6BCE" w:rsidRPr="00BB6BCE" w:rsidRDefault="00BB6BCE" w:rsidP="00BB6BCE">
            <w:pPr>
              <w:rPr>
                <w:rFonts w:ascii="Times New Roman" w:hAnsi="Times New Roman" w:cs="Times New Roman"/>
                <w:i/>
                <w:iCs/>
                <w:sz w:val="24"/>
                <w:szCs w:val="24"/>
              </w:rPr>
            </w:pPr>
            <w:r w:rsidRPr="00BB6BCE">
              <w:rPr>
                <w:rFonts w:ascii="Times New Roman" w:hAnsi="Times New Roman" w:cs="Times New Roman"/>
                <w:i/>
                <w:iCs/>
              </w:rPr>
              <w:t>Hébergement et restauration</w:t>
            </w:r>
          </w:p>
        </w:tc>
        <w:tc>
          <w:tcPr>
            <w:tcW w:w="3402" w:type="dxa"/>
          </w:tcPr>
          <w:p w14:paraId="311267FD" w14:textId="77777777" w:rsidR="00BB6BCE" w:rsidRPr="00636236" w:rsidRDefault="00BB6BCE" w:rsidP="00BB6BCE">
            <w:pPr>
              <w:rPr>
                <w:rFonts w:asciiTheme="majorBidi" w:hAnsiTheme="majorBidi" w:cstheme="majorBidi"/>
                <w:sz w:val="24"/>
                <w:szCs w:val="24"/>
              </w:rPr>
            </w:pPr>
            <w:r w:rsidRPr="00636236">
              <w:rPr>
                <w:rFonts w:asciiTheme="majorBidi" w:hAnsiTheme="majorBidi" w:cstheme="majorBidi"/>
                <w:sz w:val="24"/>
                <w:szCs w:val="24"/>
              </w:rPr>
              <w:t>10785</w:t>
            </w:r>
          </w:p>
        </w:tc>
      </w:tr>
      <w:tr w:rsidR="00BB6BCE" w14:paraId="6491F64D" w14:textId="77777777" w:rsidTr="00636236">
        <w:tc>
          <w:tcPr>
            <w:tcW w:w="1809" w:type="dxa"/>
          </w:tcPr>
          <w:p w14:paraId="7AAB9D32" w14:textId="77777777" w:rsidR="00BB6BCE" w:rsidRPr="00636236" w:rsidRDefault="00BB6BCE" w:rsidP="00BB6BCE">
            <w:pPr>
              <w:rPr>
                <w:rFonts w:asciiTheme="majorBidi" w:hAnsiTheme="majorBidi" w:cstheme="majorBidi"/>
                <w:sz w:val="24"/>
                <w:szCs w:val="24"/>
              </w:rPr>
            </w:pPr>
            <w:r w:rsidRPr="00636236">
              <w:rPr>
                <w:rFonts w:asciiTheme="majorBidi" w:hAnsiTheme="majorBidi" w:cstheme="majorBidi"/>
                <w:sz w:val="24"/>
                <w:szCs w:val="24"/>
              </w:rPr>
              <w:t>2.2</w:t>
            </w:r>
          </w:p>
        </w:tc>
        <w:tc>
          <w:tcPr>
            <w:tcW w:w="4253" w:type="dxa"/>
          </w:tcPr>
          <w:p w14:paraId="24BA8AF7" w14:textId="7CE15002" w:rsidR="00BB6BCE" w:rsidRPr="00BB6BCE" w:rsidRDefault="00BB6BCE" w:rsidP="00BB6BCE">
            <w:pPr>
              <w:rPr>
                <w:rFonts w:ascii="Times New Roman" w:hAnsi="Times New Roman" w:cs="Times New Roman"/>
                <w:i/>
                <w:iCs/>
                <w:sz w:val="24"/>
                <w:szCs w:val="24"/>
              </w:rPr>
            </w:pPr>
            <w:r w:rsidRPr="00BB6BCE">
              <w:rPr>
                <w:rFonts w:ascii="Times New Roman" w:hAnsi="Times New Roman" w:cs="Times New Roman"/>
                <w:i/>
                <w:iCs/>
              </w:rPr>
              <w:t>Frais de traduction</w:t>
            </w:r>
          </w:p>
        </w:tc>
        <w:tc>
          <w:tcPr>
            <w:tcW w:w="3402" w:type="dxa"/>
          </w:tcPr>
          <w:p w14:paraId="2371ECB1" w14:textId="77777777" w:rsidR="00BB6BCE" w:rsidRPr="00636236" w:rsidRDefault="00BB6BCE" w:rsidP="00BB6BCE">
            <w:pPr>
              <w:rPr>
                <w:rFonts w:asciiTheme="majorBidi" w:hAnsiTheme="majorBidi" w:cstheme="majorBidi"/>
                <w:sz w:val="24"/>
                <w:szCs w:val="24"/>
              </w:rPr>
            </w:pPr>
            <w:r w:rsidRPr="00636236">
              <w:rPr>
                <w:rFonts w:asciiTheme="majorBidi" w:hAnsiTheme="majorBidi" w:cstheme="majorBidi"/>
                <w:sz w:val="24"/>
                <w:szCs w:val="24"/>
              </w:rPr>
              <w:t>7196</w:t>
            </w:r>
          </w:p>
        </w:tc>
      </w:tr>
      <w:tr w:rsidR="00BB6BCE" w14:paraId="6826EABE" w14:textId="77777777" w:rsidTr="00636236">
        <w:tc>
          <w:tcPr>
            <w:tcW w:w="1809" w:type="dxa"/>
          </w:tcPr>
          <w:p w14:paraId="4EA2C40F" w14:textId="77777777" w:rsidR="00BB6BCE" w:rsidRPr="00636236" w:rsidRDefault="00BB6BCE" w:rsidP="00BB6BCE">
            <w:pPr>
              <w:rPr>
                <w:rFonts w:asciiTheme="majorBidi" w:hAnsiTheme="majorBidi" w:cstheme="majorBidi"/>
                <w:sz w:val="24"/>
                <w:szCs w:val="24"/>
              </w:rPr>
            </w:pPr>
            <w:r w:rsidRPr="00636236">
              <w:rPr>
                <w:rFonts w:asciiTheme="majorBidi" w:hAnsiTheme="majorBidi" w:cstheme="majorBidi"/>
                <w:sz w:val="24"/>
                <w:szCs w:val="24"/>
              </w:rPr>
              <w:t>2.3</w:t>
            </w:r>
          </w:p>
        </w:tc>
        <w:tc>
          <w:tcPr>
            <w:tcW w:w="4253" w:type="dxa"/>
          </w:tcPr>
          <w:p w14:paraId="5548565B" w14:textId="7C229557" w:rsidR="00BB6BCE" w:rsidRPr="00BB6BCE" w:rsidRDefault="00BB6BCE" w:rsidP="00BB6BCE">
            <w:pPr>
              <w:rPr>
                <w:rFonts w:ascii="Times New Roman" w:hAnsi="Times New Roman" w:cs="Times New Roman"/>
                <w:i/>
                <w:iCs/>
                <w:sz w:val="24"/>
                <w:szCs w:val="24"/>
                <w:lang w:val="fr-FR"/>
              </w:rPr>
            </w:pPr>
            <w:r w:rsidRPr="00BB6BCE">
              <w:rPr>
                <w:rFonts w:ascii="Times New Roman" w:hAnsi="Times New Roman" w:cs="Times New Roman"/>
                <w:i/>
                <w:iCs/>
                <w:lang w:val="fr-FR"/>
              </w:rPr>
              <w:t>Impression et documents de transport</w:t>
            </w:r>
          </w:p>
        </w:tc>
        <w:tc>
          <w:tcPr>
            <w:tcW w:w="3402" w:type="dxa"/>
          </w:tcPr>
          <w:p w14:paraId="5325B1E8" w14:textId="77777777" w:rsidR="00BB6BCE" w:rsidRPr="00636236" w:rsidRDefault="00BB6BCE" w:rsidP="00BB6BCE">
            <w:pPr>
              <w:rPr>
                <w:rFonts w:asciiTheme="majorBidi" w:hAnsiTheme="majorBidi" w:cstheme="majorBidi"/>
                <w:sz w:val="24"/>
                <w:szCs w:val="24"/>
              </w:rPr>
            </w:pPr>
            <w:r w:rsidRPr="00636236">
              <w:rPr>
                <w:rFonts w:asciiTheme="majorBidi" w:hAnsiTheme="majorBidi" w:cstheme="majorBidi"/>
                <w:sz w:val="24"/>
                <w:szCs w:val="24"/>
              </w:rPr>
              <w:t>361</w:t>
            </w:r>
          </w:p>
        </w:tc>
      </w:tr>
      <w:tr w:rsidR="00BB6BCE" w14:paraId="0AEF872A" w14:textId="77777777" w:rsidTr="00636236">
        <w:tc>
          <w:tcPr>
            <w:tcW w:w="1809" w:type="dxa"/>
          </w:tcPr>
          <w:p w14:paraId="38087695" w14:textId="77777777" w:rsidR="00BB6BCE" w:rsidRPr="00636236" w:rsidRDefault="00BB6BCE" w:rsidP="00BB6BCE">
            <w:pPr>
              <w:rPr>
                <w:rFonts w:asciiTheme="majorBidi" w:hAnsiTheme="majorBidi" w:cstheme="majorBidi"/>
                <w:sz w:val="24"/>
                <w:szCs w:val="24"/>
              </w:rPr>
            </w:pPr>
            <w:r w:rsidRPr="00636236">
              <w:rPr>
                <w:rFonts w:asciiTheme="majorBidi" w:hAnsiTheme="majorBidi" w:cstheme="majorBidi"/>
                <w:sz w:val="24"/>
                <w:szCs w:val="24"/>
              </w:rPr>
              <w:t>2.4</w:t>
            </w:r>
          </w:p>
        </w:tc>
        <w:tc>
          <w:tcPr>
            <w:tcW w:w="4253" w:type="dxa"/>
          </w:tcPr>
          <w:p w14:paraId="37B9F9C3" w14:textId="7C4A0B7E" w:rsidR="00BB6BCE" w:rsidRPr="00BB6BCE" w:rsidRDefault="00BB6BCE" w:rsidP="00BB6BCE">
            <w:pPr>
              <w:rPr>
                <w:rFonts w:ascii="Times New Roman" w:hAnsi="Times New Roman" w:cs="Times New Roman"/>
                <w:i/>
                <w:iCs/>
                <w:sz w:val="24"/>
                <w:szCs w:val="24"/>
              </w:rPr>
            </w:pPr>
            <w:r w:rsidRPr="00BB6BCE">
              <w:rPr>
                <w:rFonts w:ascii="Times New Roman" w:hAnsi="Times New Roman" w:cs="Times New Roman"/>
                <w:i/>
                <w:iCs/>
              </w:rPr>
              <w:t>Location de divers équipements</w:t>
            </w:r>
          </w:p>
        </w:tc>
        <w:tc>
          <w:tcPr>
            <w:tcW w:w="3402" w:type="dxa"/>
          </w:tcPr>
          <w:p w14:paraId="74AF7A30" w14:textId="77777777" w:rsidR="00BB6BCE" w:rsidRPr="00636236" w:rsidRDefault="00BB6BCE" w:rsidP="00BB6BCE">
            <w:pPr>
              <w:rPr>
                <w:rFonts w:asciiTheme="majorBidi" w:hAnsiTheme="majorBidi" w:cstheme="majorBidi"/>
                <w:sz w:val="24"/>
                <w:szCs w:val="24"/>
              </w:rPr>
            </w:pPr>
            <w:r w:rsidRPr="00636236">
              <w:rPr>
                <w:rFonts w:asciiTheme="majorBidi" w:hAnsiTheme="majorBidi" w:cstheme="majorBidi"/>
                <w:sz w:val="24"/>
                <w:szCs w:val="24"/>
              </w:rPr>
              <w:t>912</w:t>
            </w:r>
          </w:p>
        </w:tc>
      </w:tr>
      <w:tr w:rsidR="00BB6BCE" w14:paraId="5075EE56" w14:textId="77777777" w:rsidTr="00636236">
        <w:tc>
          <w:tcPr>
            <w:tcW w:w="1809" w:type="dxa"/>
          </w:tcPr>
          <w:p w14:paraId="22211653" w14:textId="77777777" w:rsidR="00BB6BCE" w:rsidRPr="00636236" w:rsidRDefault="00BB6BCE" w:rsidP="00BB6BCE">
            <w:pPr>
              <w:rPr>
                <w:rFonts w:asciiTheme="majorBidi" w:hAnsiTheme="majorBidi" w:cstheme="majorBidi"/>
                <w:sz w:val="24"/>
                <w:szCs w:val="24"/>
              </w:rPr>
            </w:pPr>
            <w:r w:rsidRPr="00636236">
              <w:rPr>
                <w:rFonts w:asciiTheme="majorBidi" w:hAnsiTheme="majorBidi" w:cstheme="majorBidi"/>
                <w:sz w:val="24"/>
                <w:szCs w:val="24"/>
              </w:rPr>
              <w:t>2.5</w:t>
            </w:r>
          </w:p>
        </w:tc>
        <w:tc>
          <w:tcPr>
            <w:tcW w:w="4253" w:type="dxa"/>
          </w:tcPr>
          <w:p w14:paraId="6A622D3D" w14:textId="266BC8C6" w:rsidR="00BB6BCE" w:rsidRPr="00BB6BCE" w:rsidRDefault="00BB6BCE" w:rsidP="00BB6BCE">
            <w:pPr>
              <w:rPr>
                <w:rFonts w:ascii="Times New Roman" w:hAnsi="Times New Roman" w:cs="Times New Roman"/>
                <w:i/>
                <w:iCs/>
                <w:sz w:val="24"/>
                <w:szCs w:val="24"/>
              </w:rPr>
            </w:pPr>
            <w:r w:rsidRPr="00BB6BCE">
              <w:rPr>
                <w:rFonts w:ascii="Times New Roman" w:hAnsi="Times New Roman" w:cs="Times New Roman"/>
                <w:i/>
                <w:iCs/>
              </w:rPr>
              <w:t>Frais divers</w:t>
            </w:r>
          </w:p>
        </w:tc>
        <w:tc>
          <w:tcPr>
            <w:tcW w:w="3402" w:type="dxa"/>
          </w:tcPr>
          <w:p w14:paraId="536E7B1D" w14:textId="77777777" w:rsidR="00BB6BCE" w:rsidRPr="00636236" w:rsidRDefault="00BB6BCE" w:rsidP="00BB6BCE">
            <w:pPr>
              <w:rPr>
                <w:rFonts w:asciiTheme="majorBidi" w:hAnsiTheme="majorBidi" w:cstheme="majorBidi"/>
                <w:sz w:val="24"/>
                <w:szCs w:val="24"/>
              </w:rPr>
            </w:pPr>
            <w:r w:rsidRPr="00636236">
              <w:rPr>
                <w:rFonts w:asciiTheme="majorBidi" w:hAnsiTheme="majorBidi" w:cstheme="majorBidi"/>
                <w:sz w:val="24"/>
                <w:szCs w:val="24"/>
              </w:rPr>
              <w:t>3725</w:t>
            </w:r>
          </w:p>
        </w:tc>
      </w:tr>
      <w:tr w:rsidR="00636236" w:rsidRPr="00636236" w14:paraId="14F078E9" w14:textId="77777777" w:rsidTr="00636236">
        <w:tc>
          <w:tcPr>
            <w:tcW w:w="1809" w:type="dxa"/>
          </w:tcPr>
          <w:p w14:paraId="57453B2C" w14:textId="77777777" w:rsidR="00636236" w:rsidRPr="00636236" w:rsidRDefault="00636236" w:rsidP="008F1885">
            <w:pPr>
              <w:rPr>
                <w:rFonts w:asciiTheme="majorBidi" w:hAnsiTheme="majorBidi" w:cstheme="majorBidi"/>
                <w:b/>
                <w:bCs/>
                <w:sz w:val="24"/>
                <w:szCs w:val="24"/>
              </w:rPr>
            </w:pPr>
          </w:p>
        </w:tc>
        <w:tc>
          <w:tcPr>
            <w:tcW w:w="4253" w:type="dxa"/>
          </w:tcPr>
          <w:p w14:paraId="15FBF056" w14:textId="77777777" w:rsidR="00636236" w:rsidRPr="00636236" w:rsidRDefault="00636236" w:rsidP="008F1885">
            <w:pPr>
              <w:rPr>
                <w:rFonts w:asciiTheme="majorBidi" w:hAnsiTheme="majorBidi" w:cstheme="majorBidi"/>
                <w:b/>
                <w:bCs/>
                <w:sz w:val="24"/>
                <w:szCs w:val="24"/>
              </w:rPr>
            </w:pPr>
            <w:r w:rsidRPr="00636236">
              <w:rPr>
                <w:rFonts w:asciiTheme="majorBidi" w:hAnsiTheme="majorBidi" w:cstheme="majorBidi"/>
                <w:b/>
                <w:bCs/>
                <w:sz w:val="24"/>
                <w:szCs w:val="24"/>
              </w:rPr>
              <w:t>TOTAL</w:t>
            </w:r>
          </w:p>
        </w:tc>
        <w:tc>
          <w:tcPr>
            <w:tcW w:w="3402" w:type="dxa"/>
          </w:tcPr>
          <w:p w14:paraId="7D3FD58D" w14:textId="77777777" w:rsidR="00636236" w:rsidRPr="00636236" w:rsidRDefault="00636236" w:rsidP="008F1885">
            <w:pPr>
              <w:rPr>
                <w:rFonts w:asciiTheme="majorBidi" w:hAnsiTheme="majorBidi" w:cstheme="majorBidi"/>
                <w:b/>
                <w:bCs/>
                <w:sz w:val="24"/>
                <w:szCs w:val="24"/>
              </w:rPr>
            </w:pPr>
            <w:r w:rsidRPr="00636236">
              <w:rPr>
                <w:rFonts w:asciiTheme="majorBidi" w:hAnsiTheme="majorBidi" w:cstheme="majorBidi"/>
                <w:b/>
                <w:bCs/>
                <w:sz w:val="24"/>
                <w:szCs w:val="24"/>
              </w:rPr>
              <w:t>41600</w:t>
            </w:r>
          </w:p>
        </w:tc>
      </w:tr>
    </w:tbl>
    <w:p w14:paraId="685B51B1" w14:textId="77777777" w:rsidR="00FE6558" w:rsidRDefault="00FE6558" w:rsidP="001B55C3">
      <w:pPr>
        <w:pStyle w:val="a3"/>
        <w:tabs>
          <w:tab w:val="left" w:pos="426"/>
          <w:tab w:val="left" w:pos="993"/>
        </w:tabs>
        <w:spacing w:after="0"/>
        <w:ind w:left="0" w:firstLine="284"/>
        <w:jc w:val="both"/>
        <w:rPr>
          <w:rFonts w:asciiTheme="majorBidi" w:hAnsiTheme="majorBidi" w:cstheme="majorBidi"/>
          <w:b/>
          <w:bCs/>
          <w:sz w:val="24"/>
          <w:szCs w:val="24"/>
          <w:lang w:val="en-GB"/>
        </w:rPr>
      </w:pPr>
    </w:p>
    <w:p w14:paraId="7B98FAA3" w14:textId="04427D0F" w:rsidR="00BB6BCE" w:rsidRPr="00BB6BCE" w:rsidRDefault="00BB6BCE" w:rsidP="00BB6BCE">
      <w:pPr>
        <w:pStyle w:val="a3"/>
        <w:tabs>
          <w:tab w:val="left" w:pos="426"/>
          <w:tab w:val="left" w:pos="993"/>
        </w:tabs>
        <w:spacing w:after="0"/>
        <w:ind w:left="0"/>
        <w:jc w:val="both"/>
        <w:rPr>
          <w:rFonts w:asciiTheme="majorBidi" w:hAnsiTheme="majorBidi" w:cstheme="majorBidi"/>
          <w:sz w:val="24"/>
          <w:szCs w:val="24"/>
          <w:lang w:val="fr-FR"/>
        </w:rPr>
      </w:pPr>
      <w:r w:rsidRPr="00BB6BCE">
        <w:rPr>
          <w:rFonts w:asciiTheme="majorBidi" w:hAnsiTheme="majorBidi" w:cstheme="majorBidi"/>
          <w:sz w:val="24"/>
          <w:szCs w:val="24"/>
          <w:lang w:val="fr-FR"/>
        </w:rPr>
        <w:t>En 2019, le Secrétariat a tenu un certain nombre de réunions et conférences importantes pour l'Organisation. Particulièrement importants sont</w:t>
      </w:r>
      <w:r w:rsidR="001A41BA">
        <w:rPr>
          <w:rFonts w:asciiTheme="majorBidi" w:hAnsiTheme="majorBidi" w:cstheme="majorBidi"/>
          <w:sz w:val="24"/>
          <w:szCs w:val="24"/>
          <w:lang w:val="fr-FR"/>
        </w:rPr>
        <w:t xml:space="preserve"> </w:t>
      </w:r>
      <w:r w:rsidRPr="00BB6BCE">
        <w:rPr>
          <w:rFonts w:asciiTheme="majorBidi" w:hAnsiTheme="majorBidi" w:cstheme="majorBidi"/>
          <w:sz w:val="24"/>
          <w:szCs w:val="24"/>
          <w:lang w:val="fr-FR"/>
        </w:rPr>
        <w:t>:</w:t>
      </w:r>
    </w:p>
    <w:p w14:paraId="36D445B6" w14:textId="026A2C70" w:rsidR="00BB6BCE" w:rsidRPr="00BB6BCE" w:rsidRDefault="00BB6BCE" w:rsidP="00BB6BCE">
      <w:pPr>
        <w:pStyle w:val="a3"/>
        <w:tabs>
          <w:tab w:val="left" w:pos="426"/>
          <w:tab w:val="left" w:pos="993"/>
        </w:tabs>
        <w:spacing w:after="0"/>
        <w:ind w:left="567"/>
        <w:jc w:val="both"/>
        <w:rPr>
          <w:rFonts w:asciiTheme="majorBidi" w:hAnsiTheme="majorBidi" w:cstheme="majorBidi"/>
          <w:sz w:val="24"/>
          <w:szCs w:val="24"/>
          <w:lang w:val="fr-FR"/>
        </w:rPr>
      </w:pPr>
      <w:r w:rsidRPr="00BB6BCE">
        <w:rPr>
          <w:rFonts w:asciiTheme="majorBidi" w:hAnsiTheme="majorBidi" w:cstheme="majorBidi"/>
          <w:sz w:val="24"/>
          <w:szCs w:val="24"/>
          <w:lang w:val="fr-FR"/>
        </w:rPr>
        <w:t>- 3ème réunion du Bureau Exécutif de l'OISA du 1er au 4 juillet 2019 à N</w:t>
      </w:r>
      <w:r>
        <w:rPr>
          <w:rFonts w:asciiTheme="majorBidi" w:hAnsiTheme="majorBidi" w:cstheme="majorBidi"/>
          <w:sz w:val="24"/>
          <w:szCs w:val="24"/>
          <w:lang w:val="fr-FR"/>
        </w:rPr>
        <w:t>o</w:t>
      </w:r>
      <w:r w:rsidRPr="00BB6BCE">
        <w:rPr>
          <w:rFonts w:asciiTheme="majorBidi" w:hAnsiTheme="majorBidi" w:cstheme="majorBidi"/>
          <w:sz w:val="24"/>
          <w:szCs w:val="24"/>
          <w:lang w:val="fr-FR"/>
        </w:rPr>
        <w:t>ur-S</w:t>
      </w:r>
      <w:r>
        <w:rPr>
          <w:rFonts w:asciiTheme="majorBidi" w:hAnsiTheme="majorBidi" w:cstheme="majorBidi"/>
          <w:sz w:val="24"/>
          <w:szCs w:val="24"/>
          <w:lang w:val="fr-FR"/>
        </w:rPr>
        <w:t>o</w:t>
      </w:r>
      <w:r w:rsidRPr="00BB6BCE">
        <w:rPr>
          <w:rFonts w:asciiTheme="majorBidi" w:hAnsiTheme="majorBidi" w:cstheme="majorBidi"/>
          <w:sz w:val="24"/>
          <w:szCs w:val="24"/>
          <w:lang w:val="fr-FR"/>
        </w:rPr>
        <w:t>ultan ;</w:t>
      </w:r>
    </w:p>
    <w:p w14:paraId="088332C2" w14:textId="3AFFD95C" w:rsidR="00BB6BCE" w:rsidRPr="00BB6BCE" w:rsidRDefault="00BB6BCE" w:rsidP="00BB6BCE">
      <w:pPr>
        <w:pStyle w:val="a3"/>
        <w:tabs>
          <w:tab w:val="left" w:pos="426"/>
          <w:tab w:val="left" w:pos="993"/>
        </w:tabs>
        <w:spacing w:after="0"/>
        <w:ind w:left="567"/>
        <w:jc w:val="both"/>
        <w:rPr>
          <w:rFonts w:asciiTheme="majorBidi" w:hAnsiTheme="majorBidi" w:cstheme="majorBidi"/>
          <w:sz w:val="24"/>
          <w:szCs w:val="24"/>
          <w:lang w:val="fr-FR"/>
        </w:rPr>
      </w:pPr>
      <w:r w:rsidRPr="00BB6BCE">
        <w:rPr>
          <w:rFonts w:asciiTheme="majorBidi" w:hAnsiTheme="majorBidi" w:cstheme="majorBidi"/>
          <w:sz w:val="24"/>
          <w:szCs w:val="24"/>
          <w:lang w:val="fr-FR"/>
        </w:rPr>
        <w:t>- 2ème Assemblée Générale de l'OISA du 27 au 29 août 2019 à Jeddah</w:t>
      </w:r>
      <w:r w:rsidR="001A41BA">
        <w:rPr>
          <w:rFonts w:asciiTheme="majorBidi" w:hAnsiTheme="majorBidi" w:cstheme="majorBidi"/>
          <w:sz w:val="24"/>
          <w:szCs w:val="24"/>
          <w:lang w:val="fr-FR"/>
        </w:rPr>
        <w:t xml:space="preserve"> </w:t>
      </w:r>
      <w:r w:rsidRPr="00BB6BCE">
        <w:rPr>
          <w:rFonts w:asciiTheme="majorBidi" w:hAnsiTheme="majorBidi" w:cstheme="majorBidi"/>
          <w:sz w:val="24"/>
          <w:szCs w:val="24"/>
          <w:lang w:val="fr-FR"/>
        </w:rPr>
        <w:t>;</w:t>
      </w:r>
    </w:p>
    <w:p w14:paraId="2C3EF593" w14:textId="5959CE9F" w:rsidR="00BB6BCE" w:rsidRPr="00BB6BCE" w:rsidRDefault="00BB6BCE" w:rsidP="00BB6BCE">
      <w:pPr>
        <w:pStyle w:val="a3"/>
        <w:tabs>
          <w:tab w:val="left" w:pos="709"/>
          <w:tab w:val="left" w:pos="993"/>
        </w:tabs>
        <w:spacing w:after="0"/>
        <w:ind w:left="0" w:firstLine="567"/>
        <w:jc w:val="both"/>
        <w:rPr>
          <w:rFonts w:asciiTheme="majorBidi" w:hAnsiTheme="majorBidi" w:cstheme="majorBidi"/>
          <w:sz w:val="24"/>
          <w:szCs w:val="24"/>
          <w:lang w:val="fr-FR"/>
        </w:rPr>
      </w:pPr>
      <w:r w:rsidRPr="00BB6BCE">
        <w:rPr>
          <w:rFonts w:asciiTheme="majorBidi" w:hAnsiTheme="majorBidi" w:cstheme="majorBidi"/>
          <w:sz w:val="24"/>
          <w:szCs w:val="24"/>
          <w:lang w:val="fr-FR"/>
        </w:rPr>
        <w:t xml:space="preserve">- 4ème réunion du Bureau Exécutif de l'OISA (en coopération avec l'inauguration du Secrétariat du complexe </w:t>
      </w:r>
      <w:r w:rsidR="00D274F1">
        <w:rPr>
          <w:rFonts w:asciiTheme="majorBidi" w:hAnsiTheme="majorBidi" w:cstheme="majorBidi"/>
          <w:sz w:val="24"/>
          <w:szCs w:val="24"/>
          <w:lang w:val="fr-FR"/>
        </w:rPr>
        <w:t>de l’</w:t>
      </w:r>
      <w:r w:rsidRPr="00BB6BCE">
        <w:rPr>
          <w:rFonts w:asciiTheme="majorBidi" w:hAnsiTheme="majorBidi" w:cstheme="majorBidi"/>
          <w:sz w:val="24"/>
          <w:szCs w:val="24"/>
          <w:lang w:val="fr-FR"/>
        </w:rPr>
        <w:t>AIFC) du 11 au 12 décembre 2019 à N</w:t>
      </w:r>
      <w:r>
        <w:rPr>
          <w:rFonts w:asciiTheme="majorBidi" w:hAnsiTheme="majorBidi" w:cstheme="majorBidi"/>
          <w:sz w:val="24"/>
          <w:szCs w:val="24"/>
          <w:lang w:val="fr-FR"/>
        </w:rPr>
        <w:t>o</w:t>
      </w:r>
      <w:r w:rsidRPr="00BB6BCE">
        <w:rPr>
          <w:rFonts w:asciiTheme="majorBidi" w:hAnsiTheme="majorBidi" w:cstheme="majorBidi"/>
          <w:sz w:val="24"/>
          <w:szCs w:val="24"/>
          <w:lang w:val="fr-FR"/>
        </w:rPr>
        <w:t>ur-S</w:t>
      </w:r>
      <w:r>
        <w:rPr>
          <w:rFonts w:asciiTheme="majorBidi" w:hAnsiTheme="majorBidi" w:cstheme="majorBidi"/>
          <w:sz w:val="24"/>
          <w:szCs w:val="24"/>
          <w:lang w:val="fr-FR"/>
        </w:rPr>
        <w:t>o</w:t>
      </w:r>
      <w:r w:rsidRPr="00BB6BCE">
        <w:rPr>
          <w:rFonts w:asciiTheme="majorBidi" w:hAnsiTheme="majorBidi" w:cstheme="majorBidi"/>
          <w:sz w:val="24"/>
          <w:szCs w:val="24"/>
          <w:lang w:val="fr-FR"/>
        </w:rPr>
        <w:t>ultan.</w:t>
      </w:r>
    </w:p>
    <w:p w14:paraId="065FCB9E" w14:textId="77777777" w:rsidR="00BB6BCE" w:rsidRPr="00BB6BCE" w:rsidRDefault="00BB6BCE" w:rsidP="00BB6BCE">
      <w:pPr>
        <w:pStyle w:val="a3"/>
        <w:tabs>
          <w:tab w:val="left" w:pos="426"/>
          <w:tab w:val="left" w:pos="993"/>
        </w:tabs>
        <w:spacing w:after="0"/>
        <w:ind w:left="0"/>
        <w:jc w:val="both"/>
        <w:rPr>
          <w:rFonts w:asciiTheme="majorBidi" w:hAnsiTheme="majorBidi" w:cstheme="majorBidi"/>
          <w:sz w:val="24"/>
          <w:szCs w:val="24"/>
          <w:lang w:val="fr-FR"/>
        </w:rPr>
      </w:pPr>
      <w:r w:rsidRPr="00BB6BCE">
        <w:rPr>
          <w:rFonts w:asciiTheme="majorBidi" w:hAnsiTheme="majorBidi" w:cstheme="majorBidi"/>
          <w:sz w:val="24"/>
          <w:szCs w:val="24"/>
          <w:lang w:val="fr-FR"/>
        </w:rPr>
        <w:lastRenderedPageBreak/>
        <w:t>Afin de mener efficacement et d'assurer le quorum du Conseil Exécutif de l'Organisation Islamique pour la Sécurité Alimentaire pour les membres du Conseil Exécutif de l'OISA, arrivant à Nour-Soultan pour la durée des événements, le paiement des billets d'avion a été effectué (aller-retour) pour un montant de 13 894 dollars américains, l'hébergement à l'hôtel et les repas pour un montant de 10 785 dollars américains.</w:t>
      </w:r>
    </w:p>
    <w:p w14:paraId="38A699FC" w14:textId="24131D41" w:rsidR="00F37285" w:rsidRPr="00BB6BCE" w:rsidRDefault="00BB6BCE" w:rsidP="00BB6BCE">
      <w:pPr>
        <w:pStyle w:val="a3"/>
        <w:tabs>
          <w:tab w:val="left" w:pos="426"/>
          <w:tab w:val="left" w:pos="993"/>
        </w:tabs>
        <w:spacing w:after="0"/>
        <w:ind w:left="0"/>
        <w:jc w:val="both"/>
        <w:rPr>
          <w:rFonts w:asciiTheme="majorBidi" w:hAnsiTheme="majorBidi" w:cstheme="majorBidi"/>
          <w:sz w:val="24"/>
          <w:szCs w:val="24"/>
          <w:lang w:val="fr-FR"/>
        </w:rPr>
      </w:pPr>
      <w:r w:rsidRPr="00BB6BCE">
        <w:rPr>
          <w:rFonts w:asciiTheme="majorBidi" w:hAnsiTheme="majorBidi" w:cstheme="majorBidi"/>
          <w:sz w:val="24"/>
          <w:szCs w:val="24"/>
          <w:lang w:val="fr-FR"/>
        </w:rPr>
        <w:t>Afin d'organiser et de mener à bien les activités prévues lors des réunions susmentionnées du Conseil Exécutif de l'OISA, un paiement a été effectué aux fournisseurs pour les services rendus pour un montant de 16 921 dollars américains</w:t>
      </w:r>
      <w:r w:rsidR="00F37285" w:rsidRPr="00BB6BCE">
        <w:rPr>
          <w:rFonts w:asciiTheme="majorBidi" w:hAnsiTheme="majorBidi" w:cstheme="majorBidi"/>
          <w:sz w:val="24"/>
          <w:szCs w:val="24"/>
          <w:lang w:val="fr-FR"/>
        </w:rPr>
        <w:t>.</w:t>
      </w:r>
    </w:p>
    <w:p w14:paraId="6A6E2C8A" w14:textId="77777777" w:rsidR="00FC588D" w:rsidRPr="00BB6BCE" w:rsidRDefault="00FC588D" w:rsidP="002910A1">
      <w:pPr>
        <w:pStyle w:val="a3"/>
        <w:tabs>
          <w:tab w:val="left" w:pos="426"/>
          <w:tab w:val="left" w:pos="993"/>
        </w:tabs>
        <w:spacing w:after="0"/>
        <w:ind w:left="0" w:firstLine="426"/>
        <w:jc w:val="both"/>
        <w:rPr>
          <w:rFonts w:asciiTheme="majorBidi" w:hAnsiTheme="majorBidi" w:cstheme="majorBidi"/>
          <w:sz w:val="24"/>
          <w:szCs w:val="24"/>
          <w:lang w:val="fr-FR"/>
        </w:rPr>
      </w:pPr>
    </w:p>
    <w:p w14:paraId="1FAF9BBA" w14:textId="1732926D" w:rsidR="00636236" w:rsidRPr="00D274F1" w:rsidRDefault="00D274F1" w:rsidP="005541AC">
      <w:pPr>
        <w:pStyle w:val="a3"/>
        <w:tabs>
          <w:tab w:val="left" w:pos="426"/>
          <w:tab w:val="left" w:pos="993"/>
        </w:tabs>
        <w:spacing w:after="0"/>
        <w:ind w:left="0"/>
        <w:jc w:val="both"/>
        <w:rPr>
          <w:rFonts w:asciiTheme="majorBidi" w:hAnsiTheme="majorBidi" w:cstheme="majorBidi"/>
          <w:b/>
          <w:bCs/>
          <w:sz w:val="24"/>
          <w:szCs w:val="24"/>
          <w:lang w:val="fr-FR"/>
        </w:rPr>
      </w:pPr>
      <w:r w:rsidRPr="00D274F1">
        <w:rPr>
          <w:rFonts w:asciiTheme="majorBidi" w:hAnsiTheme="majorBidi" w:cstheme="majorBidi"/>
          <w:b/>
          <w:bCs/>
          <w:sz w:val="24"/>
          <w:szCs w:val="24"/>
          <w:lang w:val="fr-FR"/>
        </w:rPr>
        <w:t>Le tableau N° 1 montre que l'article de dépenses N° 5 «</w:t>
      </w:r>
      <w:r w:rsidR="00CA460E">
        <w:rPr>
          <w:rFonts w:asciiTheme="majorBidi" w:hAnsiTheme="majorBidi" w:cstheme="majorBidi"/>
          <w:b/>
          <w:bCs/>
          <w:sz w:val="24"/>
          <w:szCs w:val="24"/>
          <w:lang w:val="fr-FR"/>
        </w:rPr>
        <w:t xml:space="preserve"> </w:t>
      </w:r>
      <w:r w:rsidRPr="00D274F1">
        <w:rPr>
          <w:rFonts w:asciiTheme="majorBidi" w:hAnsiTheme="majorBidi" w:cstheme="majorBidi"/>
          <w:b/>
          <w:bCs/>
          <w:sz w:val="24"/>
          <w:szCs w:val="24"/>
          <w:lang w:val="fr-FR"/>
        </w:rPr>
        <w:t>PROGRAMMES ET ACTIVITÉS</w:t>
      </w:r>
      <w:r w:rsidR="00CA460E">
        <w:rPr>
          <w:rFonts w:asciiTheme="majorBidi" w:hAnsiTheme="majorBidi" w:cstheme="majorBidi"/>
          <w:b/>
          <w:bCs/>
          <w:sz w:val="24"/>
          <w:szCs w:val="24"/>
          <w:lang w:val="fr-FR"/>
        </w:rPr>
        <w:t xml:space="preserve"> </w:t>
      </w:r>
      <w:r w:rsidRPr="00D274F1">
        <w:rPr>
          <w:rFonts w:asciiTheme="majorBidi" w:hAnsiTheme="majorBidi" w:cstheme="majorBidi"/>
          <w:b/>
          <w:bCs/>
          <w:sz w:val="24"/>
          <w:szCs w:val="24"/>
          <w:lang w:val="fr-FR"/>
        </w:rPr>
        <w:t>» est de 36 473 dollars américains.</w:t>
      </w:r>
    </w:p>
    <w:p w14:paraId="2EF5F022" w14:textId="77777777" w:rsidR="00840128" w:rsidRPr="00D274F1" w:rsidRDefault="00840128" w:rsidP="003B4096">
      <w:pPr>
        <w:pStyle w:val="a3"/>
        <w:tabs>
          <w:tab w:val="left" w:pos="426"/>
          <w:tab w:val="left" w:pos="993"/>
        </w:tabs>
        <w:spacing w:after="0"/>
        <w:ind w:left="0" w:firstLine="426"/>
        <w:jc w:val="both"/>
        <w:rPr>
          <w:rFonts w:asciiTheme="majorBidi" w:hAnsiTheme="majorBidi" w:cstheme="majorBidi"/>
          <w:b/>
          <w:bCs/>
          <w:sz w:val="24"/>
          <w:szCs w:val="24"/>
          <w:lang w:val="fr-FR"/>
        </w:rPr>
      </w:pPr>
    </w:p>
    <w:tbl>
      <w:tblPr>
        <w:tblStyle w:val="a4"/>
        <w:tblW w:w="0" w:type="auto"/>
        <w:tblLook w:val="04A0" w:firstRow="1" w:lastRow="0" w:firstColumn="1" w:lastColumn="0" w:noHBand="0" w:noVBand="1"/>
      </w:tblPr>
      <w:tblGrid>
        <w:gridCol w:w="1795"/>
        <w:gridCol w:w="4061"/>
        <w:gridCol w:w="3632"/>
      </w:tblGrid>
      <w:tr w:rsidR="00D274F1" w:rsidRPr="00F15FC3" w14:paraId="2AA2D7DE" w14:textId="77777777" w:rsidTr="00D274F1">
        <w:tc>
          <w:tcPr>
            <w:tcW w:w="1795" w:type="dxa"/>
          </w:tcPr>
          <w:p w14:paraId="2C0A1FB8" w14:textId="642AC021" w:rsidR="00D274F1" w:rsidRPr="00840128" w:rsidRDefault="00D274F1" w:rsidP="00D274F1">
            <w:pPr>
              <w:rPr>
                <w:rFonts w:asciiTheme="majorBidi" w:hAnsiTheme="majorBidi" w:cstheme="majorBidi"/>
                <w:b/>
                <w:bCs/>
                <w:sz w:val="24"/>
                <w:szCs w:val="24"/>
              </w:rPr>
            </w:pPr>
            <w:r w:rsidRPr="006F1AA3">
              <w:rPr>
                <w:rFonts w:asciiTheme="majorBidi" w:hAnsiTheme="majorBidi" w:cstheme="majorBidi"/>
                <w:b/>
                <w:bCs/>
                <w:sz w:val="24"/>
                <w:szCs w:val="24"/>
                <w:lang w:val="en-GB"/>
              </w:rPr>
              <w:t>No.</w:t>
            </w:r>
            <w:r>
              <w:t xml:space="preserve"> </w:t>
            </w:r>
            <w:r>
              <w:rPr>
                <w:rFonts w:asciiTheme="majorBidi" w:hAnsiTheme="majorBidi" w:cstheme="majorBidi"/>
                <w:b/>
                <w:bCs/>
                <w:sz w:val="24"/>
                <w:szCs w:val="24"/>
                <w:lang w:val="en-GB"/>
              </w:rPr>
              <w:t>en</w:t>
            </w:r>
            <w:r w:rsidRPr="001B7B25">
              <w:rPr>
                <w:rFonts w:asciiTheme="majorBidi" w:hAnsiTheme="majorBidi" w:cstheme="majorBidi"/>
                <w:b/>
                <w:bCs/>
                <w:sz w:val="24"/>
                <w:szCs w:val="24"/>
                <w:lang w:val="en-GB"/>
              </w:rPr>
              <w:t xml:space="preserve"> séquence</w:t>
            </w:r>
          </w:p>
        </w:tc>
        <w:tc>
          <w:tcPr>
            <w:tcW w:w="4061" w:type="dxa"/>
          </w:tcPr>
          <w:p w14:paraId="1B6FA7BE" w14:textId="0A0A9635" w:rsidR="00D274F1" w:rsidRPr="00840128" w:rsidRDefault="00D274F1" w:rsidP="00D274F1">
            <w:pPr>
              <w:rPr>
                <w:rFonts w:asciiTheme="majorBidi" w:hAnsiTheme="majorBidi" w:cstheme="majorBidi"/>
                <w:b/>
                <w:bCs/>
                <w:sz w:val="24"/>
                <w:szCs w:val="24"/>
              </w:rPr>
            </w:pPr>
            <w:r w:rsidRPr="001B7B25">
              <w:rPr>
                <w:rFonts w:asciiTheme="majorBidi" w:hAnsiTheme="majorBidi" w:cstheme="majorBidi"/>
                <w:b/>
                <w:bCs/>
                <w:sz w:val="24"/>
                <w:szCs w:val="24"/>
                <w:lang w:val="en-GB"/>
              </w:rPr>
              <w:t>TITRES</w:t>
            </w:r>
          </w:p>
        </w:tc>
        <w:tc>
          <w:tcPr>
            <w:tcW w:w="3632" w:type="dxa"/>
          </w:tcPr>
          <w:p w14:paraId="2582EBF5" w14:textId="217555EF" w:rsidR="00D274F1" w:rsidRPr="00D274F1" w:rsidRDefault="00D274F1" w:rsidP="00D274F1">
            <w:pPr>
              <w:rPr>
                <w:rFonts w:asciiTheme="majorBidi" w:hAnsiTheme="majorBidi" w:cstheme="majorBidi"/>
                <w:b/>
                <w:bCs/>
                <w:sz w:val="24"/>
                <w:szCs w:val="24"/>
                <w:lang w:val="fr-FR"/>
              </w:rPr>
            </w:pPr>
            <w:r w:rsidRPr="00D5735A">
              <w:rPr>
                <w:rFonts w:asciiTheme="majorBidi" w:hAnsiTheme="majorBidi" w:cstheme="majorBidi"/>
                <w:b/>
                <w:bCs/>
                <w:sz w:val="24"/>
                <w:szCs w:val="24"/>
                <w:lang w:val="fr-FR"/>
              </w:rPr>
              <w:t xml:space="preserve">Dépenses en espèces et bancaires </w:t>
            </w:r>
            <w:r w:rsidRPr="001B7B25">
              <w:rPr>
                <w:rFonts w:asciiTheme="majorBidi" w:hAnsiTheme="majorBidi" w:cstheme="majorBidi"/>
                <w:b/>
                <w:bCs/>
                <w:sz w:val="24"/>
                <w:szCs w:val="24"/>
                <w:lang w:val="fr-FR"/>
              </w:rPr>
              <w:t>(dollar</w:t>
            </w:r>
            <w:r>
              <w:rPr>
                <w:rFonts w:asciiTheme="majorBidi" w:hAnsiTheme="majorBidi" w:cstheme="majorBidi"/>
                <w:b/>
                <w:bCs/>
                <w:sz w:val="24"/>
                <w:szCs w:val="24"/>
                <w:lang w:val="fr-FR"/>
              </w:rPr>
              <w:t>s</w:t>
            </w:r>
            <w:r w:rsidRPr="001B7B25">
              <w:rPr>
                <w:rFonts w:asciiTheme="majorBidi" w:hAnsiTheme="majorBidi" w:cstheme="majorBidi"/>
                <w:b/>
                <w:bCs/>
                <w:sz w:val="24"/>
                <w:szCs w:val="24"/>
                <w:lang w:val="fr-FR"/>
              </w:rPr>
              <w:t xml:space="preserve"> </w:t>
            </w:r>
            <w:r w:rsidRPr="00893E85">
              <w:rPr>
                <w:rFonts w:asciiTheme="majorBidi" w:hAnsiTheme="majorBidi" w:cstheme="majorBidi"/>
                <w:b/>
                <w:bCs/>
                <w:sz w:val="24"/>
                <w:szCs w:val="24"/>
                <w:lang w:val="fr-FR"/>
              </w:rPr>
              <w:t>américains</w:t>
            </w:r>
            <w:r w:rsidRPr="001B7B25">
              <w:rPr>
                <w:rFonts w:asciiTheme="majorBidi" w:hAnsiTheme="majorBidi" w:cstheme="majorBidi"/>
                <w:b/>
                <w:bCs/>
                <w:sz w:val="24"/>
                <w:szCs w:val="24"/>
                <w:lang w:val="fr-FR"/>
              </w:rPr>
              <w:t>)</w:t>
            </w:r>
          </w:p>
        </w:tc>
      </w:tr>
      <w:tr w:rsidR="00D274F1" w:rsidRPr="00B63CC0" w14:paraId="5BCCCFF6" w14:textId="77777777" w:rsidTr="00D274F1">
        <w:tc>
          <w:tcPr>
            <w:tcW w:w="1795" w:type="dxa"/>
          </w:tcPr>
          <w:p w14:paraId="44402C86" w14:textId="77777777" w:rsidR="00D274F1" w:rsidRPr="006E2FA7" w:rsidRDefault="00D274F1" w:rsidP="00D274F1">
            <w:pPr>
              <w:rPr>
                <w:rFonts w:asciiTheme="majorBidi" w:hAnsiTheme="majorBidi" w:cstheme="majorBidi"/>
                <w:b/>
                <w:bCs/>
                <w:sz w:val="24"/>
                <w:szCs w:val="24"/>
              </w:rPr>
            </w:pPr>
            <w:r w:rsidRPr="006E2FA7">
              <w:rPr>
                <w:rFonts w:asciiTheme="majorBidi" w:hAnsiTheme="majorBidi" w:cstheme="majorBidi"/>
                <w:b/>
                <w:bCs/>
                <w:sz w:val="24"/>
                <w:szCs w:val="24"/>
              </w:rPr>
              <w:t>1</w:t>
            </w:r>
          </w:p>
        </w:tc>
        <w:tc>
          <w:tcPr>
            <w:tcW w:w="4061" w:type="dxa"/>
          </w:tcPr>
          <w:p w14:paraId="6CF8F874" w14:textId="17F18DD7" w:rsidR="00D274F1" w:rsidRPr="00D274F1" w:rsidRDefault="00D274F1" w:rsidP="00D274F1">
            <w:pPr>
              <w:rPr>
                <w:rFonts w:ascii="Times New Roman" w:hAnsi="Times New Roman" w:cs="Times New Roman"/>
                <w:sz w:val="24"/>
                <w:szCs w:val="24"/>
                <w:lang w:val="fr-FR"/>
              </w:rPr>
            </w:pPr>
            <w:r w:rsidRPr="00D274F1">
              <w:rPr>
                <w:rFonts w:ascii="Times New Roman" w:hAnsi="Times New Roman" w:cs="Times New Roman"/>
                <w:lang w:val="fr-FR"/>
              </w:rPr>
              <w:t>Développement du produit informatique «</w:t>
            </w:r>
            <w:r>
              <w:rPr>
                <w:rFonts w:ascii="Times New Roman" w:hAnsi="Times New Roman" w:cs="Times New Roman"/>
                <w:lang w:val="fr-FR"/>
              </w:rPr>
              <w:t xml:space="preserve"> </w:t>
            </w:r>
            <w:r w:rsidRPr="00D274F1">
              <w:rPr>
                <w:rFonts w:ascii="Times New Roman" w:hAnsi="Times New Roman" w:cs="Times New Roman"/>
                <w:lang w:val="fr-FR"/>
              </w:rPr>
              <w:t>WorkFlow - système de gestion électronique de documents, basé sur le programme ARTA SYNERGY Platform</w:t>
            </w:r>
            <w:r>
              <w:rPr>
                <w:rFonts w:ascii="Times New Roman" w:hAnsi="Times New Roman" w:cs="Times New Roman"/>
                <w:lang w:val="fr-FR"/>
              </w:rPr>
              <w:t xml:space="preserve"> </w:t>
            </w:r>
            <w:r w:rsidRPr="00D274F1">
              <w:rPr>
                <w:rFonts w:ascii="Times New Roman" w:hAnsi="Times New Roman" w:cs="Times New Roman"/>
                <w:lang w:val="fr-FR"/>
              </w:rPr>
              <w:t>»</w:t>
            </w:r>
          </w:p>
        </w:tc>
        <w:tc>
          <w:tcPr>
            <w:tcW w:w="3632" w:type="dxa"/>
          </w:tcPr>
          <w:p w14:paraId="266069EF" w14:textId="77777777" w:rsidR="00D274F1" w:rsidRPr="006E2FA7" w:rsidRDefault="00D274F1" w:rsidP="00D274F1">
            <w:pPr>
              <w:rPr>
                <w:rFonts w:asciiTheme="majorBidi" w:hAnsiTheme="majorBidi" w:cstheme="majorBidi"/>
                <w:b/>
                <w:bCs/>
                <w:sz w:val="24"/>
                <w:szCs w:val="24"/>
              </w:rPr>
            </w:pPr>
            <w:r w:rsidRPr="006E2FA7">
              <w:rPr>
                <w:rFonts w:asciiTheme="majorBidi" w:hAnsiTheme="majorBidi" w:cstheme="majorBidi"/>
                <w:b/>
                <w:bCs/>
                <w:sz w:val="24"/>
                <w:szCs w:val="24"/>
              </w:rPr>
              <w:t>7675</w:t>
            </w:r>
          </w:p>
        </w:tc>
      </w:tr>
      <w:tr w:rsidR="00D274F1" w14:paraId="4EDA9BF6" w14:textId="77777777" w:rsidTr="00D274F1">
        <w:tc>
          <w:tcPr>
            <w:tcW w:w="1795" w:type="dxa"/>
          </w:tcPr>
          <w:p w14:paraId="5B52FDE9" w14:textId="77777777" w:rsidR="00D274F1" w:rsidRPr="006E2FA7" w:rsidRDefault="00D274F1" w:rsidP="00D274F1">
            <w:pPr>
              <w:rPr>
                <w:rFonts w:asciiTheme="majorBidi" w:hAnsiTheme="majorBidi" w:cstheme="majorBidi"/>
                <w:b/>
                <w:bCs/>
                <w:sz w:val="24"/>
                <w:szCs w:val="24"/>
              </w:rPr>
            </w:pPr>
            <w:r w:rsidRPr="006E2FA7">
              <w:rPr>
                <w:rFonts w:asciiTheme="majorBidi" w:hAnsiTheme="majorBidi" w:cstheme="majorBidi"/>
                <w:b/>
                <w:bCs/>
                <w:sz w:val="24"/>
                <w:szCs w:val="24"/>
              </w:rPr>
              <w:t>2</w:t>
            </w:r>
          </w:p>
        </w:tc>
        <w:tc>
          <w:tcPr>
            <w:tcW w:w="4061" w:type="dxa"/>
          </w:tcPr>
          <w:p w14:paraId="19E3C2EA" w14:textId="296C57B1" w:rsidR="00D274F1" w:rsidRPr="00D274F1" w:rsidRDefault="00D274F1" w:rsidP="00D274F1">
            <w:pPr>
              <w:rPr>
                <w:rFonts w:ascii="Times New Roman" w:hAnsi="Times New Roman" w:cs="Times New Roman"/>
                <w:sz w:val="24"/>
                <w:szCs w:val="24"/>
                <w:lang w:val="fr-FR"/>
              </w:rPr>
            </w:pPr>
            <w:r w:rsidRPr="00D274F1">
              <w:rPr>
                <w:rFonts w:ascii="Times New Roman" w:hAnsi="Times New Roman" w:cs="Times New Roman"/>
                <w:lang w:val="fr-FR"/>
              </w:rPr>
              <w:t>Services permettant d'accéder à la plateforme technologique Qlik Sense et de créer des applications analytiques à la demande (afin de créer la Base de données de l'OISA)</w:t>
            </w:r>
          </w:p>
        </w:tc>
        <w:tc>
          <w:tcPr>
            <w:tcW w:w="3632" w:type="dxa"/>
          </w:tcPr>
          <w:p w14:paraId="51B95ABB" w14:textId="77777777" w:rsidR="00D274F1" w:rsidRPr="006E2FA7" w:rsidRDefault="00D274F1" w:rsidP="00D274F1">
            <w:pPr>
              <w:rPr>
                <w:rFonts w:asciiTheme="majorBidi" w:hAnsiTheme="majorBidi" w:cstheme="majorBidi"/>
                <w:b/>
                <w:bCs/>
                <w:sz w:val="24"/>
                <w:szCs w:val="24"/>
              </w:rPr>
            </w:pPr>
            <w:r w:rsidRPr="006E2FA7">
              <w:rPr>
                <w:rFonts w:asciiTheme="majorBidi" w:hAnsiTheme="majorBidi" w:cstheme="majorBidi"/>
                <w:b/>
                <w:bCs/>
                <w:sz w:val="24"/>
                <w:szCs w:val="24"/>
              </w:rPr>
              <w:t>26958</w:t>
            </w:r>
          </w:p>
        </w:tc>
      </w:tr>
      <w:tr w:rsidR="00D274F1" w14:paraId="229E6588" w14:textId="77777777" w:rsidTr="00D274F1">
        <w:tc>
          <w:tcPr>
            <w:tcW w:w="1795" w:type="dxa"/>
          </w:tcPr>
          <w:p w14:paraId="339E1904" w14:textId="77777777" w:rsidR="00D274F1" w:rsidRPr="006E2FA7" w:rsidRDefault="00D274F1" w:rsidP="00D274F1">
            <w:pPr>
              <w:rPr>
                <w:rFonts w:asciiTheme="majorBidi" w:hAnsiTheme="majorBidi" w:cstheme="majorBidi"/>
                <w:b/>
                <w:bCs/>
                <w:sz w:val="24"/>
                <w:szCs w:val="24"/>
              </w:rPr>
            </w:pPr>
            <w:r w:rsidRPr="006E2FA7">
              <w:rPr>
                <w:rFonts w:asciiTheme="majorBidi" w:hAnsiTheme="majorBidi" w:cstheme="majorBidi"/>
                <w:b/>
                <w:bCs/>
                <w:sz w:val="24"/>
                <w:szCs w:val="24"/>
              </w:rPr>
              <w:t>3</w:t>
            </w:r>
          </w:p>
        </w:tc>
        <w:tc>
          <w:tcPr>
            <w:tcW w:w="4061" w:type="dxa"/>
          </w:tcPr>
          <w:p w14:paraId="53327077" w14:textId="3B6A0B92" w:rsidR="00D274F1" w:rsidRPr="00D274F1" w:rsidRDefault="00D274F1" w:rsidP="00D274F1">
            <w:pPr>
              <w:rPr>
                <w:rFonts w:ascii="Times New Roman" w:hAnsi="Times New Roman" w:cs="Times New Roman"/>
                <w:sz w:val="24"/>
                <w:szCs w:val="24"/>
                <w:lang w:val="fr-FR"/>
              </w:rPr>
            </w:pPr>
            <w:r w:rsidRPr="00D274F1">
              <w:rPr>
                <w:rFonts w:ascii="Times New Roman" w:hAnsi="Times New Roman" w:cs="Times New Roman"/>
                <w:lang w:val="fr-FR"/>
              </w:rPr>
              <w:t>Amélioration des règles de documentation, de la gestion des documents et de l'utilisation de la gestion électronique des documents -WorkFlow</w:t>
            </w:r>
          </w:p>
        </w:tc>
        <w:tc>
          <w:tcPr>
            <w:tcW w:w="3632" w:type="dxa"/>
          </w:tcPr>
          <w:p w14:paraId="5111600B" w14:textId="77777777" w:rsidR="00D274F1" w:rsidRPr="006E2FA7" w:rsidRDefault="00D274F1" w:rsidP="00D274F1">
            <w:pPr>
              <w:rPr>
                <w:rFonts w:asciiTheme="majorBidi" w:hAnsiTheme="majorBidi" w:cstheme="majorBidi"/>
                <w:b/>
                <w:bCs/>
                <w:sz w:val="24"/>
                <w:szCs w:val="24"/>
              </w:rPr>
            </w:pPr>
            <w:r w:rsidRPr="006E2FA7">
              <w:rPr>
                <w:rFonts w:asciiTheme="majorBidi" w:hAnsiTheme="majorBidi" w:cstheme="majorBidi"/>
                <w:b/>
                <w:bCs/>
                <w:sz w:val="24"/>
                <w:szCs w:val="24"/>
              </w:rPr>
              <w:t>1840</w:t>
            </w:r>
          </w:p>
        </w:tc>
      </w:tr>
      <w:tr w:rsidR="00B63CC0" w14:paraId="09AF9675" w14:textId="77777777" w:rsidTr="00D274F1">
        <w:tc>
          <w:tcPr>
            <w:tcW w:w="1795" w:type="dxa"/>
          </w:tcPr>
          <w:p w14:paraId="31A9DC96" w14:textId="77777777" w:rsidR="00B63CC0" w:rsidRPr="006E2FA7" w:rsidRDefault="00B63CC0" w:rsidP="00C76B8E">
            <w:pPr>
              <w:rPr>
                <w:rFonts w:asciiTheme="majorBidi" w:hAnsiTheme="majorBidi" w:cstheme="majorBidi"/>
                <w:b/>
                <w:bCs/>
                <w:sz w:val="24"/>
                <w:szCs w:val="24"/>
              </w:rPr>
            </w:pPr>
            <w:r w:rsidRPr="006E2FA7">
              <w:rPr>
                <w:rFonts w:asciiTheme="majorBidi" w:hAnsiTheme="majorBidi" w:cstheme="majorBidi"/>
                <w:b/>
                <w:bCs/>
                <w:sz w:val="24"/>
                <w:szCs w:val="24"/>
              </w:rPr>
              <w:t>4</w:t>
            </w:r>
          </w:p>
        </w:tc>
        <w:tc>
          <w:tcPr>
            <w:tcW w:w="4061" w:type="dxa"/>
          </w:tcPr>
          <w:p w14:paraId="5C803996" w14:textId="77777777" w:rsidR="00B63CC0" w:rsidRPr="006E2FA7" w:rsidRDefault="00B63CC0" w:rsidP="00C76B8E">
            <w:pPr>
              <w:rPr>
                <w:rFonts w:asciiTheme="majorBidi" w:hAnsiTheme="majorBidi" w:cstheme="majorBidi"/>
                <w:b/>
                <w:bCs/>
                <w:sz w:val="24"/>
                <w:szCs w:val="24"/>
              </w:rPr>
            </w:pPr>
            <w:r w:rsidRPr="006E2FA7">
              <w:rPr>
                <w:rFonts w:asciiTheme="majorBidi" w:hAnsiTheme="majorBidi" w:cstheme="majorBidi"/>
                <w:b/>
                <w:bCs/>
                <w:sz w:val="24"/>
                <w:szCs w:val="24"/>
              </w:rPr>
              <w:t>TOTAL</w:t>
            </w:r>
          </w:p>
        </w:tc>
        <w:tc>
          <w:tcPr>
            <w:tcW w:w="3632" w:type="dxa"/>
          </w:tcPr>
          <w:p w14:paraId="3E2E1A31" w14:textId="77777777" w:rsidR="00B63CC0" w:rsidRPr="006E2FA7" w:rsidRDefault="00B63CC0" w:rsidP="00C76B8E">
            <w:pPr>
              <w:rPr>
                <w:rFonts w:asciiTheme="majorBidi" w:hAnsiTheme="majorBidi" w:cstheme="majorBidi"/>
                <w:b/>
                <w:bCs/>
                <w:sz w:val="24"/>
                <w:szCs w:val="24"/>
              </w:rPr>
            </w:pPr>
            <w:r w:rsidRPr="006E2FA7">
              <w:rPr>
                <w:rFonts w:asciiTheme="majorBidi" w:hAnsiTheme="majorBidi" w:cstheme="majorBidi"/>
                <w:b/>
                <w:bCs/>
                <w:sz w:val="24"/>
                <w:szCs w:val="24"/>
              </w:rPr>
              <w:t>36473</w:t>
            </w:r>
          </w:p>
        </w:tc>
      </w:tr>
    </w:tbl>
    <w:p w14:paraId="302BB303" w14:textId="77777777" w:rsidR="00840128" w:rsidRDefault="00840128" w:rsidP="003B4096">
      <w:pPr>
        <w:pStyle w:val="a3"/>
        <w:tabs>
          <w:tab w:val="left" w:pos="426"/>
          <w:tab w:val="left" w:pos="993"/>
        </w:tabs>
        <w:spacing w:after="0"/>
        <w:ind w:left="0" w:firstLine="426"/>
        <w:jc w:val="both"/>
        <w:rPr>
          <w:rFonts w:asciiTheme="majorBidi" w:hAnsiTheme="majorBidi" w:cstheme="majorBidi"/>
          <w:b/>
          <w:bCs/>
          <w:sz w:val="24"/>
          <w:szCs w:val="24"/>
          <w:lang w:val="en-GB"/>
        </w:rPr>
      </w:pPr>
    </w:p>
    <w:p w14:paraId="4C9C29BE" w14:textId="77777777" w:rsidR="00CA460E" w:rsidRPr="00CA460E" w:rsidRDefault="00CA460E" w:rsidP="00CA460E">
      <w:pPr>
        <w:pStyle w:val="a3"/>
        <w:tabs>
          <w:tab w:val="left" w:pos="993"/>
        </w:tabs>
        <w:spacing w:after="0"/>
        <w:ind w:left="0"/>
        <w:jc w:val="both"/>
        <w:rPr>
          <w:rFonts w:asciiTheme="majorBidi" w:hAnsiTheme="majorBidi" w:cstheme="majorBidi"/>
          <w:sz w:val="24"/>
          <w:szCs w:val="24"/>
          <w:lang w:val="fr-FR"/>
        </w:rPr>
      </w:pPr>
      <w:r w:rsidRPr="00CA460E">
        <w:rPr>
          <w:rFonts w:asciiTheme="majorBidi" w:hAnsiTheme="majorBidi" w:cstheme="majorBidi"/>
          <w:b/>
          <w:bCs/>
          <w:sz w:val="24"/>
          <w:szCs w:val="24"/>
          <w:lang w:val="fr-FR"/>
        </w:rPr>
        <w:t>L'Organisation Islamique pour la Sécurité Alimentaire</w:t>
      </w:r>
      <w:r w:rsidRPr="00CA460E">
        <w:rPr>
          <w:rFonts w:asciiTheme="majorBidi" w:hAnsiTheme="majorBidi" w:cstheme="majorBidi"/>
          <w:sz w:val="24"/>
          <w:szCs w:val="24"/>
          <w:lang w:val="fr-FR"/>
        </w:rPr>
        <w:t xml:space="preserve"> ordonne et définit un concept pour contrôler les demandes et les protocoles, l'organisation / la gestion (y compris la tenue des dossiers des RH), l'amélioration de la qualité, l'exhaustivité et la fiabilité des informations conformément aux conditions de sécurité des informations, l'amélioration de la gérabilité et l'augmentation de la transparence des processus d'affaires orientés document.</w:t>
      </w:r>
    </w:p>
    <w:p w14:paraId="1DFA4068" w14:textId="77777777" w:rsidR="00CA460E" w:rsidRPr="00CA460E" w:rsidRDefault="00CA460E" w:rsidP="00CA460E">
      <w:pPr>
        <w:pStyle w:val="a3"/>
        <w:tabs>
          <w:tab w:val="left" w:pos="993"/>
        </w:tabs>
        <w:spacing w:after="0"/>
        <w:ind w:left="0"/>
        <w:jc w:val="both"/>
        <w:rPr>
          <w:rFonts w:asciiTheme="majorBidi" w:hAnsiTheme="majorBidi" w:cstheme="majorBidi"/>
          <w:sz w:val="24"/>
          <w:szCs w:val="24"/>
          <w:lang w:val="fr-FR"/>
        </w:rPr>
      </w:pPr>
      <w:r w:rsidRPr="00CA460E">
        <w:rPr>
          <w:rFonts w:asciiTheme="majorBidi" w:hAnsiTheme="majorBidi" w:cstheme="majorBidi"/>
          <w:sz w:val="24"/>
          <w:szCs w:val="24"/>
          <w:lang w:val="fr-FR"/>
        </w:rPr>
        <w:t>La base conceptuelle pour résoudre ce problème a été la création du produit informatique « Workflow- système de gestion électronique de documents ».</w:t>
      </w:r>
    </w:p>
    <w:p w14:paraId="24859C37" w14:textId="77777777" w:rsidR="00CA460E" w:rsidRPr="00CA460E" w:rsidRDefault="00CA460E" w:rsidP="00CA460E">
      <w:pPr>
        <w:pStyle w:val="a3"/>
        <w:tabs>
          <w:tab w:val="left" w:pos="993"/>
        </w:tabs>
        <w:spacing w:after="0"/>
        <w:ind w:left="0"/>
        <w:jc w:val="both"/>
        <w:rPr>
          <w:rFonts w:asciiTheme="majorBidi" w:hAnsiTheme="majorBidi" w:cstheme="majorBidi"/>
          <w:sz w:val="24"/>
          <w:szCs w:val="24"/>
          <w:lang w:val="fr-FR"/>
        </w:rPr>
      </w:pPr>
      <w:r w:rsidRPr="00CA460E">
        <w:rPr>
          <w:rFonts w:asciiTheme="majorBidi" w:hAnsiTheme="majorBidi" w:cstheme="majorBidi"/>
          <w:sz w:val="24"/>
          <w:szCs w:val="24"/>
          <w:lang w:val="fr-FR"/>
        </w:rPr>
        <w:t>La mise en œuvre du système garantira la réalisation des objectifs suivants :</w:t>
      </w:r>
    </w:p>
    <w:p w14:paraId="34C6B9EE" w14:textId="77777777" w:rsidR="00CA460E" w:rsidRPr="00CA460E" w:rsidRDefault="00CA460E" w:rsidP="00CA460E">
      <w:pPr>
        <w:pStyle w:val="a3"/>
        <w:tabs>
          <w:tab w:val="left" w:pos="709"/>
          <w:tab w:val="left" w:pos="993"/>
        </w:tabs>
        <w:spacing w:after="0"/>
        <w:ind w:left="567"/>
        <w:jc w:val="both"/>
        <w:rPr>
          <w:rFonts w:asciiTheme="majorBidi" w:hAnsiTheme="majorBidi" w:cstheme="majorBidi"/>
          <w:sz w:val="24"/>
          <w:szCs w:val="24"/>
          <w:lang w:val="fr-FR"/>
        </w:rPr>
      </w:pPr>
      <w:r w:rsidRPr="00CA460E">
        <w:rPr>
          <w:rFonts w:asciiTheme="majorBidi" w:hAnsiTheme="majorBidi" w:cstheme="majorBidi"/>
          <w:sz w:val="24"/>
          <w:szCs w:val="24"/>
          <w:lang w:val="fr-FR"/>
        </w:rPr>
        <w:t>- amélioration et efficacité opérationnelle du travail avec les documents ;</w:t>
      </w:r>
    </w:p>
    <w:p w14:paraId="46D7B208" w14:textId="77777777" w:rsidR="00CA460E" w:rsidRPr="00CA460E" w:rsidRDefault="00CA460E" w:rsidP="00CA460E">
      <w:pPr>
        <w:pStyle w:val="a3"/>
        <w:tabs>
          <w:tab w:val="left" w:pos="709"/>
          <w:tab w:val="left" w:pos="993"/>
        </w:tabs>
        <w:spacing w:after="0"/>
        <w:ind w:left="567"/>
        <w:jc w:val="both"/>
        <w:rPr>
          <w:rFonts w:asciiTheme="majorBidi" w:hAnsiTheme="majorBidi" w:cstheme="majorBidi"/>
          <w:sz w:val="24"/>
          <w:szCs w:val="24"/>
          <w:lang w:val="fr-FR"/>
        </w:rPr>
      </w:pPr>
      <w:r w:rsidRPr="00CA460E">
        <w:rPr>
          <w:rFonts w:asciiTheme="majorBidi" w:hAnsiTheme="majorBidi" w:cstheme="majorBidi"/>
          <w:sz w:val="24"/>
          <w:szCs w:val="24"/>
          <w:lang w:val="fr-FR"/>
        </w:rPr>
        <w:t>- respect du principe de l'instantanéité de l'enregistrement des documents ;</w:t>
      </w:r>
    </w:p>
    <w:p w14:paraId="5BD5BD30" w14:textId="77777777" w:rsidR="00CA460E" w:rsidRPr="00CA460E" w:rsidRDefault="00CA460E" w:rsidP="00CA460E">
      <w:pPr>
        <w:pStyle w:val="a3"/>
        <w:tabs>
          <w:tab w:val="left" w:pos="709"/>
          <w:tab w:val="left" w:pos="993"/>
        </w:tabs>
        <w:spacing w:after="0"/>
        <w:ind w:left="0" w:firstLine="567"/>
        <w:jc w:val="both"/>
        <w:rPr>
          <w:rFonts w:asciiTheme="majorBidi" w:hAnsiTheme="majorBidi" w:cstheme="majorBidi"/>
          <w:sz w:val="24"/>
          <w:szCs w:val="24"/>
          <w:lang w:val="fr-FR"/>
        </w:rPr>
      </w:pPr>
      <w:r w:rsidRPr="00CA460E">
        <w:rPr>
          <w:rFonts w:asciiTheme="majorBidi" w:hAnsiTheme="majorBidi" w:cstheme="majorBidi"/>
          <w:sz w:val="24"/>
          <w:szCs w:val="24"/>
          <w:lang w:val="fr-FR"/>
        </w:rPr>
        <w:t>- déterminer l'interrogation de l'état du document à chaque instant de son cycle de vie et déterminer les employés responsables de l'exécution du document ;</w:t>
      </w:r>
    </w:p>
    <w:p w14:paraId="31C7C3F0" w14:textId="77777777" w:rsidR="00CA460E" w:rsidRPr="00CA460E" w:rsidRDefault="00CA460E" w:rsidP="00CA460E">
      <w:pPr>
        <w:pStyle w:val="a3"/>
        <w:tabs>
          <w:tab w:val="left" w:pos="709"/>
          <w:tab w:val="left" w:pos="993"/>
        </w:tabs>
        <w:spacing w:after="0"/>
        <w:ind w:left="567"/>
        <w:jc w:val="both"/>
        <w:rPr>
          <w:rFonts w:asciiTheme="majorBidi" w:hAnsiTheme="majorBidi" w:cstheme="majorBidi"/>
          <w:sz w:val="24"/>
          <w:szCs w:val="24"/>
          <w:lang w:val="fr-FR"/>
        </w:rPr>
      </w:pPr>
      <w:r w:rsidRPr="00CA460E">
        <w:rPr>
          <w:rFonts w:asciiTheme="majorBidi" w:hAnsiTheme="majorBidi" w:cstheme="majorBidi"/>
          <w:sz w:val="24"/>
          <w:szCs w:val="24"/>
          <w:lang w:val="fr-FR"/>
        </w:rPr>
        <w:t>- réduction des coûts liés à la gestion des flux de documents et de travail ;</w:t>
      </w:r>
    </w:p>
    <w:p w14:paraId="57B49E6F" w14:textId="77777777" w:rsidR="00CA460E" w:rsidRPr="00CA460E" w:rsidRDefault="00CA460E" w:rsidP="00CA460E">
      <w:pPr>
        <w:pStyle w:val="a3"/>
        <w:tabs>
          <w:tab w:val="left" w:pos="709"/>
          <w:tab w:val="left" w:pos="993"/>
        </w:tabs>
        <w:spacing w:after="0"/>
        <w:ind w:left="567"/>
        <w:jc w:val="both"/>
        <w:rPr>
          <w:rFonts w:asciiTheme="majorBidi" w:hAnsiTheme="majorBidi" w:cstheme="majorBidi"/>
          <w:sz w:val="24"/>
          <w:szCs w:val="24"/>
          <w:lang w:val="fr-FR"/>
        </w:rPr>
      </w:pPr>
      <w:r w:rsidRPr="00CA460E">
        <w:rPr>
          <w:rFonts w:asciiTheme="majorBidi" w:hAnsiTheme="majorBidi" w:cstheme="majorBidi"/>
          <w:sz w:val="24"/>
          <w:szCs w:val="24"/>
          <w:lang w:val="fr-FR"/>
        </w:rPr>
        <w:t>- réduction du gaspillage des heures de travail des employés ;</w:t>
      </w:r>
    </w:p>
    <w:p w14:paraId="472EF6C5" w14:textId="77777777" w:rsidR="00CA460E" w:rsidRPr="00CA460E" w:rsidRDefault="00CA460E" w:rsidP="00CA460E">
      <w:pPr>
        <w:pStyle w:val="a3"/>
        <w:tabs>
          <w:tab w:val="left" w:pos="709"/>
          <w:tab w:val="left" w:pos="993"/>
        </w:tabs>
        <w:spacing w:after="0"/>
        <w:ind w:left="567"/>
        <w:jc w:val="both"/>
        <w:rPr>
          <w:rFonts w:asciiTheme="majorBidi" w:hAnsiTheme="majorBidi" w:cstheme="majorBidi"/>
          <w:sz w:val="24"/>
          <w:szCs w:val="24"/>
          <w:lang w:val="fr-FR"/>
        </w:rPr>
      </w:pPr>
      <w:r w:rsidRPr="00CA460E">
        <w:rPr>
          <w:rFonts w:asciiTheme="majorBidi" w:hAnsiTheme="majorBidi" w:cstheme="majorBidi"/>
          <w:sz w:val="24"/>
          <w:szCs w:val="24"/>
          <w:lang w:val="fr-FR"/>
        </w:rPr>
        <w:t>- accroître la mobilité des dirigeants et des employés ;</w:t>
      </w:r>
    </w:p>
    <w:p w14:paraId="6FBDB35D" w14:textId="77777777" w:rsidR="00CA460E" w:rsidRPr="00CA460E" w:rsidRDefault="00CA460E" w:rsidP="00CA460E">
      <w:pPr>
        <w:pStyle w:val="a3"/>
        <w:tabs>
          <w:tab w:val="left" w:pos="709"/>
          <w:tab w:val="left" w:pos="993"/>
        </w:tabs>
        <w:spacing w:after="0"/>
        <w:ind w:left="567"/>
        <w:jc w:val="both"/>
        <w:rPr>
          <w:rFonts w:asciiTheme="majorBidi" w:hAnsiTheme="majorBidi" w:cstheme="majorBidi"/>
          <w:sz w:val="24"/>
          <w:szCs w:val="24"/>
          <w:lang w:val="fr-FR"/>
        </w:rPr>
      </w:pPr>
      <w:r w:rsidRPr="00CA460E">
        <w:rPr>
          <w:rFonts w:asciiTheme="majorBidi" w:hAnsiTheme="majorBidi" w:cstheme="majorBidi"/>
          <w:sz w:val="24"/>
          <w:szCs w:val="24"/>
          <w:lang w:val="fr-FR"/>
        </w:rPr>
        <w:t>- renforcer le contrôle de la discipline opérationnelle.</w:t>
      </w:r>
    </w:p>
    <w:p w14:paraId="5B96E1C8" w14:textId="77777777" w:rsidR="00CA460E" w:rsidRPr="00CA460E" w:rsidRDefault="00CA460E" w:rsidP="00CA460E">
      <w:pPr>
        <w:pStyle w:val="a3"/>
        <w:tabs>
          <w:tab w:val="left" w:pos="993"/>
        </w:tabs>
        <w:spacing w:after="0"/>
        <w:ind w:left="0"/>
        <w:jc w:val="both"/>
        <w:rPr>
          <w:rFonts w:asciiTheme="majorBidi" w:hAnsiTheme="majorBidi" w:cstheme="majorBidi"/>
          <w:sz w:val="24"/>
          <w:szCs w:val="24"/>
          <w:lang w:val="fr-FR"/>
        </w:rPr>
      </w:pPr>
    </w:p>
    <w:p w14:paraId="46609E2E" w14:textId="3C09209F" w:rsidR="00CA460E" w:rsidRPr="00CA460E" w:rsidRDefault="00CA460E" w:rsidP="00CA460E">
      <w:pPr>
        <w:pStyle w:val="a3"/>
        <w:tabs>
          <w:tab w:val="left" w:pos="993"/>
        </w:tabs>
        <w:spacing w:after="0"/>
        <w:ind w:left="0"/>
        <w:jc w:val="both"/>
        <w:rPr>
          <w:rFonts w:asciiTheme="majorBidi" w:hAnsiTheme="majorBidi" w:cstheme="majorBidi"/>
          <w:sz w:val="24"/>
          <w:szCs w:val="24"/>
          <w:lang w:val="fr-FR"/>
        </w:rPr>
      </w:pPr>
      <w:r w:rsidRPr="00CA460E">
        <w:rPr>
          <w:rFonts w:asciiTheme="majorBidi" w:hAnsiTheme="majorBidi" w:cstheme="majorBidi"/>
          <w:sz w:val="24"/>
          <w:szCs w:val="24"/>
          <w:lang w:val="fr-FR"/>
        </w:rPr>
        <w:t xml:space="preserve">Au cours de la période considérée, le paiement a été effectué au fournisseur </w:t>
      </w:r>
      <w:r w:rsidRPr="00CA460E">
        <w:rPr>
          <w:rFonts w:asciiTheme="majorBidi" w:hAnsiTheme="majorBidi" w:cstheme="majorBidi"/>
          <w:b/>
          <w:bCs/>
          <w:sz w:val="24"/>
          <w:szCs w:val="24"/>
          <w:lang w:val="fr-FR"/>
        </w:rPr>
        <w:t xml:space="preserve">pour les services fournis pour le développement du produit informatique « WorkFlow -système de gestion </w:t>
      </w:r>
      <w:r w:rsidRPr="00CA460E">
        <w:rPr>
          <w:rFonts w:asciiTheme="majorBidi" w:hAnsiTheme="majorBidi" w:cstheme="majorBidi"/>
          <w:b/>
          <w:bCs/>
          <w:sz w:val="24"/>
          <w:szCs w:val="24"/>
          <w:lang w:val="fr-FR"/>
        </w:rPr>
        <w:lastRenderedPageBreak/>
        <w:t>électronique de documents</w:t>
      </w:r>
      <w:r w:rsidRPr="00CA460E">
        <w:rPr>
          <w:rFonts w:asciiTheme="majorBidi" w:hAnsiTheme="majorBidi" w:cstheme="majorBidi"/>
          <w:sz w:val="24"/>
          <w:szCs w:val="24"/>
          <w:lang w:val="fr-FR"/>
        </w:rPr>
        <w:t xml:space="preserve"> », basé sur le programme informatique dénommé plateforme «</w:t>
      </w:r>
      <w:r w:rsidR="001A41BA">
        <w:rPr>
          <w:rFonts w:asciiTheme="majorBidi" w:hAnsiTheme="majorBidi" w:cstheme="majorBidi"/>
          <w:sz w:val="24"/>
          <w:szCs w:val="24"/>
          <w:lang w:val="fr-FR"/>
        </w:rPr>
        <w:t xml:space="preserve"> </w:t>
      </w:r>
      <w:r w:rsidRPr="00CA460E">
        <w:rPr>
          <w:rFonts w:asciiTheme="majorBidi" w:hAnsiTheme="majorBidi" w:cstheme="majorBidi"/>
          <w:sz w:val="24"/>
          <w:szCs w:val="24"/>
          <w:lang w:val="fr-FR"/>
        </w:rPr>
        <w:t>ARTA SYNERGY</w:t>
      </w:r>
      <w:r w:rsidR="001A41BA">
        <w:rPr>
          <w:rFonts w:asciiTheme="majorBidi" w:hAnsiTheme="majorBidi" w:cstheme="majorBidi"/>
          <w:sz w:val="24"/>
          <w:szCs w:val="24"/>
          <w:lang w:val="fr-FR"/>
        </w:rPr>
        <w:t xml:space="preserve"> </w:t>
      </w:r>
      <w:r w:rsidRPr="00CA460E">
        <w:rPr>
          <w:rFonts w:asciiTheme="majorBidi" w:hAnsiTheme="majorBidi" w:cstheme="majorBidi"/>
          <w:sz w:val="24"/>
          <w:szCs w:val="24"/>
          <w:lang w:val="fr-FR"/>
        </w:rPr>
        <w:t>»</w:t>
      </w:r>
      <w:r>
        <w:rPr>
          <w:rFonts w:asciiTheme="majorBidi" w:hAnsiTheme="majorBidi" w:cstheme="majorBidi"/>
          <w:sz w:val="24"/>
          <w:szCs w:val="24"/>
          <w:lang w:val="fr-FR"/>
        </w:rPr>
        <w:t>,</w:t>
      </w:r>
      <w:r w:rsidRPr="00CA460E">
        <w:rPr>
          <w:rFonts w:asciiTheme="majorBidi" w:hAnsiTheme="majorBidi" w:cstheme="majorBidi"/>
          <w:sz w:val="24"/>
          <w:szCs w:val="24"/>
          <w:lang w:val="fr-FR"/>
        </w:rPr>
        <w:t xml:space="preserve"> et </w:t>
      </w:r>
      <w:r w:rsidRPr="00CA460E">
        <w:rPr>
          <w:rFonts w:asciiTheme="majorBidi" w:hAnsiTheme="majorBidi" w:cstheme="majorBidi"/>
          <w:b/>
          <w:bCs/>
          <w:sz w:val="24"/>
          <w:szCs w:val="24"/>
          <w:lang w:val="fr-FR"/>
        </w:rPr>
        <w:t>l'amélioration des règles de documentation, gestion de la documentation et utilisation de WorkFlow - gestion électronique de documents pour un montant de 9 515 dollars des E-U</w:t>
      </w:r>
      <w:r w:rsidRPr="00CA460E">
        <w:rPr>
          <w:rFonts w:asciiTheme="majorBidi" w:hAnsiTheme="majorBidi" w:cstheme="majorBidi"/>
          <w:sz w:val="24"/>
          <w:szCs w:val="24"/>
          <w:lang w:val="fr-FR"/>
        </w:rPr>
        <w:t>. Au 1er trimestre 2020, le produit informatique</w:t>
      </w:r>
      <w:r w:rsidR="001A41BA">
        <w:rPr>
          <w:rFonts w:asciiTheme="majorBidi" w:hAnsiTheme="majorBidi" w:cstheme="majorBidi"/>
          <w:sz w:val="24"/>
          <w:szCs w:val="24"/>
          <w:lang w:val="fr-FR"/>
        </w:rPr>
        <w:t xml:space="preserve"> </w:t>
      </w:r>
      <w:r w:rsidRPr="00CA460E">
        <w:rPr>
          <w:rFonts w:asciiTheme="majorBidi" w:hAnsiTheme="majorBidi" w:cstheme="majorBidi"/>
          <w:sz w:val="24"/>
          <w:szCs w:val="24"/>
          <w:lang w:val="fr-FR"/>
        </w:rPr>
        <w:t>«</w:t>
      </w:r>
      <w:r w:rsidR="001A41BA">
        <w:rPr>
          <w:rFonts w:asciiTheme="majorBidi" w:hAnsiTheme="majorBidi" w:cstheme="majorBidi"/>
          <w:sz w:val="24"/>
          <w:szCs w:val="24"/>
          <w:lang w:val="fr-FR"/>
        </w:rPr>
        <w:t xml:space="preserve"> </w:t>
      </w:r>
      <w:r w:rsidRPr="00CA460E">
        <w:rPr>
          <w:rFonts w:asciiTheme="majorBidi" w:hAnsiTheme="majorBidi" w:cstheme="majorBidi"/>
          <w:sz w:val="24"/>
          <w:szCs w:val="24"/>
          <w:lang w:val="fr-FR"/>
        </w:rPr>
        <w:t>Workflow</w:t>
      </w:r>
      <w:r w:rsidR="001A41BA">
        <w:rPr>
          <w:rFonts w:asciiTheme="majorBidi" w:hAnsiTheme="majorBidi" w:cstheme="majorBidi"/>
          <w:sz w:val="24"/>
          <w:szCs w:val="24"/>
          <w:lang w:val="fr-FR"/>
        </w:rPr>
        <w:t xml:space="preserve"> </w:t>
      </w:r>
      <w:r w:rsidRPr="00CA460E">
        <w:rPr>
          <w:rFonts w:asciiTheme="majorBidi" w:hAnsiTheme="majorBidi" w:cstheme="majorBidi"/>
          <w:sz w:val="24"/>
          <w:szCs w:val="24"/>
          <w:lang w:val="fr-FR"/>
        </w:rPr>
        <w:t>» système de gestion électronique des documents » est lancé.</w:t>
      </w:r>
    </w:p>
    <w:p w14:paraId="03A13377" w14:textId="77777777" w:rsidR="00CA460E" w:rsidRPr="00CA460E" w:rsidRDefault="00CA460E" w:rsidP="00CA460E">
      <w:pPr>
        <w:pStyle w:val="a3"/>
        <w:tabs>
          <w:tab w:val="left" w:pos="993"/>
        </w:tabs>
        <w:spacing w:after="0"/>
        <w:ind w:left="0"/>
        <w:jc w:val="both"/>
        <w:rPr>
          <w:rFonts w:asciiTheme="majorBidi" w:hAnsiTheme="majorBidi" w:cstheme="majorBidi"/>
          <w:sz w:val="24"/>
          <w:szCs w:val="24"/>
          <w:lang w:val="fr-FR"/>
        </w:rPr>
      </w:pPr>
      <w:r w:rsidRPr="00CA460E">
        <w:rPr>
          <w:rFonts w:asciiTheme="majorBidi" w:hAnsiTheme="majorBidi" w:cstheme="majorBidi"/>
          <w:sz w:val="24"/>
          <w:szCs w:val="24"/>
          <w:lang w:val="fr-FR"/>
        </w:rPr>
        <w:t>En outre, conformément au Plan d'action quinquennal approuvé par la Première session de l'Assemblée Générale de l'OISA (avril 2016), l'Organisation s'efforce de donner accès à la plateforme technologique Qlik Sense et, par le lancement d'une application analytique mobile, de créer sa propre Base de données de l'OISA pour ses activités opérationnelles de sécurité alimentaire et de développement agricole des pays membres de l'Organisation. Ces travaux ont été lancés en juillet 2019 et se poursuivront tout au long de 2020.</w:t>
      </w:r>
    </w:p>
    <w:p w14:paraId="5A400D28" w14:textId="13E35989" w:rsidR="00CA460E" w:rsidRPr="00CA460E" w:rsidRDefault="00CA460E" w:rsidP="00CA460E">
      <w:pPr>
        <w:pStyle w:val="a3"/>
        <w:tabs>
          <w:tab w:val="left" w:pos="993"/>
        </w:tabs>
        <w:spacing w:after="0"/>
        <w:ind w:left="0"/>
        <w:jc w:val="both"/>
        <w:rPr>
          <w:rFonts w:asciiTheme="majorBidi" w:hAnsiTheme="majorBidi" w:cstheme="majorBidi"/>
          <w:sz w:val="24"/>
          <w:szCs w:val="24"/>
          <w:lang w:val="fr-FR"/>
        </w:rPr>
      </w:pPr>
      <w:r w:rsidRPr="00CA460E">
        <w:rPr>
          <w:rFonts w:asciiTheme="majorBidi" w:hAnsiTheme="majorBidi" w:cstheme="majorBidi"/>
          <w:sz w:val="24"/>
          <w:szCs w:val="24"/>
          <w:lang w:val="fr-FR"/>
        </w:rPr>
        <w:t xml:space="preserve">L'accès à la plateforme technologique a pour objectif d'optimiser les processus de préparation et de formation </w:t>
      </w:r>
      <w:r w:rsidR="001A41BA" w:rsidRPr="001A41BA">
        <w:rPr>
          <w:rFonts w:asciiTheme="majorBidi" w:hAnsiTheme="majorBidi" w:cstheme="majorBidi"/>
          <w:sz w:val="24"/>
          <w:szCs w:val="24"/>
          <w:lang w:val="fr-FR"/>
        </w:rPr>
        <w:t>du rapport analytique</w:t>
      </w:r>
      <w:r w:rsidRPr="00CA460E">
        <w:rPr>
          <w:rFonts w:asciiTheme="majorBidi" w:hAnsiTheme="majorBidi" w:cstheme="majorBidi"/>
          <w:sz w:val="24"/>
          <w:szCs w:val="24"/>
          <w:lang w:val="fr-FR"/>
        </w:rPr>
        <w:t>, ainsi que les recherches menées par les salariés et partenaires de l'OISA.</w:t>
      </w:r>
    </w:p>
    <w:p w14:paraId="6645A8D2" w14:textId="77777777" w:rsidR="00CA460E" w:rsidRPr="00CA460E" w:rsidRDefault="00CA460E" w:rsidP="00CA460E">
      <w:pPr>
        <w:pStyle w:val="a3"/>
        <w:tabs>
          <w:tab w:val="left" w:pos="993"/>
        </w:tabs>
        <w:spacing w:after="0"/>
        <w:ind w:left="0"/>
        <w:jc w:val="both"/>
        <w:rPr>
          <w:rFonts w:asciiTheme="majorBidi" w:hAnsiTheme="majorBidi" w:cstheme="majorBidi"/>
          <w:sz w:val="24"/>
          <w:szCs w:val="24"/>
          <w:lang w:val="fr-FR"/>
        </w:rPr>
      </w:pPr>
      <w:r w:rsidRPr="00CA460E">
        <w:rPr>
          <w:rFonts w:asciiTheme="majorBidi" w:hAnsiTheme="majorBidi" w:cstheme="majorBidi"/>
          <w:sz w:val="24"/>
          <w:szCs w:val="24"/>
          <w:lang w:val="fr-FR"/>
        </w:rPr>
        <w:t>Le but des applications analytiques et d'une plate-forme technologique est de combiner des données provenant de diverses sources dans un modèle de données unique, de fournir des recherches sur les données de balance commerciale des pays membres de l'OISA, ainsi que de fournir d'autres informations.</w:t>
      </w:r>
    </w:p>
    <w:p w14:paraId="196A72B5" w14:textId="77777777" w:rsidR="00CA460E" w:rsidRPr="00CA460E" w:rsidRDefault="00CA460E" w:rsidP="00CA460E">
      <w:pPr>
        <w:pStyle w:val="a3"/>
        <w:tabs>
          <w:tab w:val="left" w:pos="993"/>
        </w:tabs>
        <w:spacing w:after="0"/>
        <w:ind w:left="0"/>
        <w:jc w:val="both"/>
        <w:rPr>
          <w:rFonts w:asciiTheme="majorBidi" w:hAnsiTheme="majorBidi" w:cstheme="majorBidi"/>
          <w:sz w:val="24"/>
          <w:szCs w:val="24"/>
          <w:lang w:val="fr-FR"/>
        </w:rPr>
      </w:pPr>
      <w:r w:rsidRPr="00CA460E">
        <w:rPr>
          <w:rFonts w:asciiTheme="majorBidi" w:hAnsiTheme="majorBidi" w:cstheme="majorBidi"/>
          <w:sz w:val="24"/>
          <w:szCs w:val="24"/>
          <w:lang w:val="fr-FR"/>
        </w:rPr>
        <w:t xml:space="preserve">En 2019, le paiement a été effectué pour le service fourni pour donner </w:t>
      </w:r>
      <w:r w:rsidRPr="00CA460E">
        <w:rPr>
          <w:rFonts w:asciiTheme="majorBidi" w:hAnsiTheme="majorBidi" w:cstheme="majorBidi"/>
          <w:b/>
          <w:bCs/>
          <w:sz w:val="24"/>
          <w:szCs w:val="24"/>
          <w:lang w:val="fr-FR"/>
        </w:rPr>
        <w:t>l'accès à la plateforme technologique Qlik Sense et créer des applications analytiques pour un montant de 26958 dollars américains</w:t>
      </w:r>
      <w:r w:rsidRPr="00CA460E">
        <w:rPr>
          <w:rFonts w:asciiTheme="majorBidi" w:hAnsiTheme="majorBidi" w:cstheme="majorBidi"/>
          <w:sz w:val="24"/>
          <w:szCs w:val="24"/>
          <w:lang w:val="fr-FR"/>
        </w:rPr>
        <w:t>. Actuellement, les travaux se poursuivent sur le développement et la mise en œuvre de l'accès susmentionné à la plate-forme technologique. À l'avenir, il est prévu de transférer le module analytique développé au bilan de l'Organisation.</w:t>
      </w:r>
    </w:p>
    <w:p w14:paraId="553FF442" w14:textId="23BF4B3E" w:rsidR="005541AC" w:rsidRPr="00CA460E" w:rsidRDefault="00CA460E" w:rsidP="00CA460E">
      <w:pPr>
        <w:pStyle w:val="a3"/>
        <w:tabs>
          <w:tab w:val="left" w:pos="993"/>
        </w:tabs>
        <w:spacing w:after="0"/>
        <w:ind w:left="0"/>
        <w:jc w:val="both"/>
        <w:rPr>
          <w:rFonts w:asciiTheme="majorBidi" w:hAnsiTheme="majorBidi" w:cstheme="majorBidi"/>
          <w:sz w:val="24"/>
          <w:szCs w:val="24"/>
          <w:lang w:val="fr-FR"/>
        </w:rPr>
      </w:pPr>
      <w:r w:rsidRPr="00CA460E">
        <w:rPr>
          <w:rFonts w:asciiTheme="majorBidi" w:hAnsiTheme="majorBidi" w:cstheme="majorBidi"/>
          <w:sz w:val="24"/>
          <w:szCs w:val="24"/>
          <w:lang w:val="fr-FR"/>
        </w:rPr>
        <w:t xml:space="preserve">La comptabilité au sein de l'Organisation est effectuée dans différentes devises (tenge de la République du Kazakhstan, dollars américains et euros) en fonction de la dépendance et du contenu des opérations commerciales. À cet égard, la note explicative présentée sur les dépenses en espèces et bancaires pour 2019 a été convertie dans </w:t>
      </w:r>
      <w:r w:rsidRPr="00CA460E">
        <w:rPr>
          <w:rFonts w:asciiTheme="majorBidi" w:hAnsiTheme="majorBidi" w:cstheme="majorBidi"/>
          <w:b/>
          <w:bCs/>
          <w:sz w:val="24"/>
          <w:szCs w:val="24"/>
          <w:lang w:val="fr-FR"/>
        </w:rPr>
        <w:t>la monnaie de présentation</w:t>
      </w:r>
      <w:r w:rsidRPr="00CA460E">
        <w:rPr>
          <w:rFonts w:asciiTheme="majorBidi" w:hAnsiTheme="majorBidi" w:cstheme="majorBidi"/>
          <w:sz w:val="24"/>
          <w:szCs w:val="24"/>
          <w:lang w:val="fr-FR"/>
        </w:rPr>
        <w:t xml:space="preserve"> au 31 décembre 2019, selon le taux officiel de la Banque nationale de la République du Kazakhstan</w:t>
      </w:r>
      <w:r w:rsidR="00BA6FCB" w:rsidRPr="00CA460E">
        <w:rPr>
          <w:rFonts w:asciiTheme="majorBidi" w:hAnsiTheme="majorBidi" w:cstheme="majorBidi"/>
          <w:sz w:val="24"/>
          <w:szCs w:val="24"/>
          <w:lang w:val="fr-FR"/>
        </w:rPr>
        <w:t>.</w:t>
      </w:r>
    </w:p>
    <w:p w14:paraId="316A1A6B" w14:textId="77777777" w:rsidR="005541AC" w:rsidRPr="00CA460E" w:rsidRDefault="005541AC" w:rsidP="00CA460E">
      <w:pPr>
        <w:pStyle w:val="a3"/>
        <w:tabs>
          <w:tab w:val="left" w:pos="993"/>
        </w:tabs>
        <w:spacing w:after="0"/>
        <w:ind w:left="0"/>
        <w:jc w:val="both"/>
        <w:rPr>
          <w:rFonts w:asciiTheme="majorBidi" w:hAnsiTheme="majorBidi" w:cstheme="majorBidi"/>
          <w:sz w:val="24"/>
          <w:szCs w:val="24"/>
          <w:lang w:val="fr-FR"/>
        </w:rPr>
      </w:pPr>
    </w:p>
    <w:p w14:paraId="46AF9069" w14:textId="77777777" w:rsidR="005541AC" w:rsidRPr="00CA460E" w:rsidRDefault="005541AC" w:rsidP="00CA460E">
      <w:pPr>
        <w:pStyle w:val="a3"/>
        <w:tabs>
          <w:tab w:val="left" w:pos="993"/>
        </w:tabs>
        <w:spacing w:after="0"/>
        <w:ind w:left="0"/>
        <w:jc w:val="both"/>
        <w:rPr>
          <w:rFonts w:asciiTheme="majorBidi" w:hAnsiTheme="majorBidi" w:cstheme="majorBidi"/>
          <w:b/>
          <w:bCs/>
          <w:sz w:val="24"/>
          <w:szCs w:val="24"/>
          <w:lang w:val="fr-FR"/>
        </w:rPr>
      </w:pPr>
    </w:p>
    <w:p w14:paraId="7AD35C33" w14:textId="65BA538A" w:rsidR="00CA460E" w:rsidRPr="00CA460E" w:rsidRDefault="00CA460E" w:rsidP="00CA460E">
      <w:pPr>
        <w:pStyle w:val="a3"/>
        <w:tabs>
          <w:tab w:val="left" w:pos="993"/>
        </w:tabs>
        <w:spacing w:after="0"/>
        <w:ind w:left="0"/>
        <w:jc w:val="both"/>
        <w:rPr>
          <w:rFonts w:asciiTheme="majorBidi" w:hAnsiTheme="majorBidi" w:cstheme="majorBidi"/>
          <w:b/>
          <w:bCs/>
          <w:sz w:val="24"/>
          <w:szCs w:val="24"/>
          <w:lang w:val="en-US"/>
        </w:rPr>
      </w:pPr>
      <w:r w:rsidRPr="00CA460E">
        <w:rPr>
          <w:rFonts w:asciiTheme="majorBidi" w:hAnsiTheme="majorBidi" w:cstheme="majorBidi"/>
          <w:b/>
          <w:bCs/>
          <w:sz w:val="24"/>
          <w:szCs w:val="24"/>
          <w:lang w:val="en-US"/>
        </w:rPr>
        <w:t xml:space="preserve">Directeur </w:t>
      </w:r>
      <w:r>
        <w:rPr>
          <w:rFonts w:asciiTheme="majorBidi" w:hAnsiTheme="majorBidi" w:cstheme="majorBidi"/>
          <w:b/>
          <w:bCs/>
          <w:sz w:val="24"/>
          <w:szCs w:val="24"/>
          <w:lang w:val="en-US"/>
        </w:rPr>
        <w:t>G</w:t>
      </w:r>
      <w:r w:rsidRPr="00CA460E">
        <w:rPr>
          <w:rFonts w:asciiTheme="majorBidi" w:hAnsiTheme="majorBidi" w:cstheme="majorBidi"/>
          <w:b/>
          <w:bCs/>
          <w:sz w:val="24"/>
          <w:szCs w:val="24"/>
          <w:lang w:val="en-US"/>
        </w:rPr>
        <w:t>énéral</w:t>
      </w:r>
    </w:p>
    <w:p w14:paraId="198505CB" w14:textId="6D43037D" w:rsidR="00CA460E" w:rsidRPr="00CA460E" w:rsidRDefault="00CA460E" w:rsidP="00CA460E">
      <w:pPr>
        <w:pStyle w:val="a3"/>
        <w:tabs>
          <w:tab w:val="left" w:pos="993"/>
        </w:tabs>
        <w:spacing w:after="0"/>
        <w:ind w:left="0"/>
        <w:jc w:val="both"/>
        <w:rPr>
          <w:rFonts w:asciiTheme="majorBidi" w:hAnsiTheme="majorBidi" w:cstheme="majorBidi"/>
          <w:b/>
          <w:bCs/>
          <w:sz w:val="24"/>
          <w:szCs w:val="24"/>
          <w:lang w:val="en-US"/>
        </w:rPr>
      </w:pPr>
      <w:r>
        <w:rPr>
          <w:rFonts w:asciiTheme="majorBidi" w:hAnsiTheme="majorBidi" w:cstheme="majorBidi"/>
          <w:b/>
          <w:bCs/>
          <w:sz w:val="24"/>
          <w:szCs w:val="24"/>
          <w:lang w:val="en-US"/>
        </w:rPr>
        <w:t>de l’OISA</w:t>
      </w:r>
    </w:p>
    <w:p w14:paraId="6D8E4969" w14:textId="1F3BFA90" w:rsidR="00B73866" w:rsidRPr="000202FD" w:rsidRDefault="00CA460E" w:rsidP="00CA460E">
      <w:pPr>
        <w:pStyle w:val="a3"/>
        <w:tabs>
          <w:tab w:val="left" w:pos="993"/>
        </w:tabs>
        <w:spacing w:after="0"/>
        <w:ind w:left="0"/>
        <w:jc w:val="both"/>
        <w:rPr>
          <w:rFonts w:asciiTheme="majorBidi" w:hAnsiTheme="majorBidi" w:cstheme="majorBidi"/>
          <w:sz w:val="24"/>
          <w:szCs w:val="24"/>
          <w:lang w:val="en-GB"/>
        </w:rPr>
      </w:pPr>
      <w:r w:rsidRPr="00CA460E">
        <w:rPr>
          <w:rFonts w:asciiTheme="majorBidi" w:hAnsiTheme="majorBidi" w:cstheme="majorBidi"/>
          <w:b/>
          <w:bCs/>
          <w:sz w:val="24"/>
          <w:szCs w:val="24"/>
          <w:lang w:val="en-US"/>
        </w:rPr>
        <w:t>Yerlan Baidaulet</w:t>
      </w:r>
    </w:p>
    <w:sectPr w:rsidR="00B73866" w:rsidRPr="000202FD" w:rsidSect="00636236">
      <w:footerReference w:type="default" r:id="rId9"/>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2CE811" w14:textId="77777777" w:rsidR="00D51179" w:rsidRDefault="00D51179" w:rsidP="005541AC">
      <w:pPr>
        <w:spacing w:after="0" w:line="240" w:lineRule="auto"/>
      </w:pPr>
      <w:r>
        <w:separator/>
      </w:r>
    </w:p>
  </w:endnote>
  <w:endnote w:type="continuationSeparator" w:id="0">
    <w:p w14:paraId="5B1BD316" w14:textId="77777777" w:rsidR="00D51179" w:rsidRDefault="00D51179" w:rsidP="005541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0711514"/>
      <w:docPartObj>
        <w:docPartGallery w:val="Page Numbers (Bottom of Page)"/>
        <w:docPartUnique/>
      </w:docPartObj>
    </w:sdtPr>
    <w:sdtEndPr/>
    <w:sdtContent>
      <w:p w14:paraId="72E12194" w14:textId="36E3FC8C" w:rsidR="005541AC" w:rsidRDefault="005541AC">
        <w:pPr>
          <w:pStyle w:val="a7"/>
          <w:jc w:val="right"/>
        </w:pPr>
        <w:r>
          <w:fldChar w:fldCharType="begin"/>
        </w:r>
        <w:r>
          <w:instrText>PAGE   \* MERGEFORMAT</w:instrText>
        </w:r>
        <w:r>
          <w:fldChar w:fldCharType="separate"/>
        </w:r>
        <w:r>
          <w:t>2</w:t>
        </w:r>
        <w:r>
          <w:fldChar w:fldCharType="end"/>
        </w:r>
      </w:p>
    </w:sdtContent>
  </w:sdt>
  <w:p w14:paraId="1412AC7A" w14:textId="77777777" w:rsidR="005541AC" w:rsidRDefault="005541A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25B59D" w14:textId="77777777" w:rsidR="00D51179" w:rsidRDefault="00D51179" w:rsidP="005541AC">
      <w:pPr>
        <w:spacing w:after="0" w:line="240" w:lineRule="auto"/>
      </w:pPr>
      <w:r>
        <w:separator/>
      </w:r>
    </w:p>
  </w:footnote>
  <w:footnote w:type="continuationSeparator" w:id="0">
    <w:p w14:paraId="09F6AFB7" w14:textId="77777777" w:rsidR="00D51179" w:rsidRDefault="00D51179" w:rsidP="005541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00E10"/>
    <w:multiLevelType w:val="hybridMultilevel"/>
    <w:tmpl w:val="E1DAEE16"/>
    <w:lvl w:ilvl="0" w:tplc="0DC0D0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7C260B99"/>
    <w:multiLevelType w:val="hybridMultilevel"/>
    <w:tmpl w:val="3F8088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00B"/>
    <w:rsid w:val="000123C2"/>
    <w:rsid w:val="00015750"/>
    <w:rsid w:val="000202FD"/>
    <w:rsid w:val="000256FE"/>
    <w:rsid w:val="00045704"/>
    <w:rsid w:val="000702E6"/>
    <w:rsid w:val="0007754E"/>
    <w:rsid w:val="00090A66"/>
    <w:rsid w:val="00091783"/>
    <w:rsid w:val="000A2DD8"/>
    <w:rsid w:val="000A46FB"/>
    <w:rsid w:val="000B5836"/>
    <w:rsid w:val="00110A67"/>
    <w:rsid w:val="00123807"/>
    <w:rsid w:val="00136568"/>
    <w:rsid w:val="0015589C"/>
    <w:rsid w:val="0015755E"/>
    <w:rsid w:val="00180480"/>
    <w:rsid w:val="001A41BA"/>
    <w:rsid w:val="001B55C3"/>
    <w:rsid w:val="001B7B25"/>
    <w:rsid w:val="001D2DCA"/>
    <w:rsid w:val="001D412E"/>
    <w:rsid w:val="001E6193"/>
    <w:rsid w:val="001E68BD"/>
    <w:rsid w:val="00220121"/>
    <w:rsid w:val="002234CE"/>
    <w:rsid w:val="00226B39"/>
    <w:rsid w:val="00282B78"/>
    <w:rsid w:val="002870C4"/>
    <w:rsid w:val="002910A1"/>
    <w:rsid w:val="002A62AA"/>
    <w:rsid w:val="002E3DB9"/>
    <w:rsid w:val="00365066"/>
    <w:rsid w:val="00375FBC"/>
    <w:rsid w:val="00381971"/>
    <w:rsid w:val="003A4FE6"/>
    <w:rsid w:val="003A7BD2"/>
    <w:rsid w:val="003B4096"/>
    <w:rsid w:val="003C5753"/>
    <w:rsid w:val="003E4214"/>
    <w:rsid w:val="003E5FC7"/>
    <w:rsid w:val="003E6F28"/>
    <w:rsid w:val="00402A50"/>
    <w:rsid w:val="00403531"/>
    <w:rsid w:val="004058F5"/>
    <w:rsid w:val="00420487"/>
    <w:rsid w:val="00422264"/>
    <w:rsid w:val="00480D67"/>
    <w:rsid w:val="00485F2D"/>
    <w:rsid w:val="0049693A"/>
    <w:rsid w:val="004A266B"/>
    <w:rsid w:val="004A3C85"/>
    <w:rsid w:val="004A51D2"/>
    <w:rsid w:val="004B6546"/>
    <w:rsid w:val="004B7806"/>
    <w:rsid w:val="004D06EF"/>
    <w:rsid w:val="004D49D2"/>
    <w:rsid w:val="004D4A8A"/>
    <w:rsid w:val="004E5DCC"/>
    <w:rsid w:val="004E7DCD"/>
    <w:rsid w:val="00527287"/>
    <w:rsid w:val="005541AC"/>
    <w:rsid w:val="00557DF5"/>
    <w:rsid w:val="00566650"/>
    <w:rsid w:val="005C4BEE"/>
    <w:rsid w:val="005F29D8"/>
    <w:rsid w:val="00611A7E"/>
    <w:rsid w:val="00623243"/>
    <w:rsid w:val="00626FA9"/>
    <w:rsid w:val="00634062"/>
    <w:rsid w:val="00636236"/>
    <w:rsid w:val="006532C3"/>
    <w:rsid w:val="006821D9"/>
    <w:rsid w:val="0069711D"/>
    <w:rsid w:val="006A080A"/>
    <w:rsid w:val="006B54DC"/>
    <w:rsid w:val="006C0C80"/>
    <w:rsid w:val="006E2FA7"/>
    <w:rsid w:val="006F1AA3"/>
    <w:rsid w:val="00720ECA"/>
    <w:rsid w:val="00726172"/>
    <w:rsid w:val="00767399"/>
    <w:rsid w:val="007B1B93"/>
    <w:rsid w:val="007B7137"/>
    <w:rsid w:val="007D04A2"/>
    <w:rsid w:val="007D581A"/>
    <w:rsid w:val="007D7F44"/>
    <w:rsid w:val="007E37C7"/>
    <w:rsid w:val="007E5EA1"/>
    <w:rsid w:val="007E71D5"/>
    <w:rsid w:val="007F70FE"/>
    <w:rsid w:val="00805F96"/>
    <w:rsid w:val="008177A8"/>
    <w:rsid w:val="008366B9"/>
    <w:rsid w:val="00837938"/>
    <w:rsid w:val="00840128"/>
    <w:rsid w:val="00840EA3"/>
    <w:rsid w:val="00847C49"/>
    <w:rsid w:val="008641AB"/>
    <w:rsid w:val="00870CBA"/>
    <w:rsid w:val="00872297"/>
    <w:rsid w:val="00893E85"/>
    <w:rsid w:val="008F5E53"/>
    <w:rsid w:val="00903799"/>
    <w:rsid w:val="00907975"/>
    <w:rsid w:val="00915FC6"/>
    <w:rsid w:val="00946382"/>
    <w:rsid w:val="0095537B"/>
    <w:rsid w:val="00972CD7"/>
    <w:rsid w:val="00983142"/>
    <w:rsid w:val="0098409E"/>
    <w:rsid w:val="00984DE7"/>
    <w:rsid w:val="009A62BF"/>
    <w:rsid w:val="009C6729"/>
    <w:rsid w:val="00A148DF"/>
    <w:rsid w:val="00A2457A"/>
    <w:rsid w:val="00A558E9"/>
    <w:rsid w:val="00A62701"/>
    <w:rsid w:val="00A62DB8"/>
    <w:rsid w:val="00A77066"/>
    <w:rsid w:val="00A87DDE"/>
    <w:rsid w:val="00AC040D"/>
    <w:rsid w:val="00B12D19"/>
    <w:rsid w:val="00B63CC0"/>
    <w:rsid w:val="00B726B0"/>
    <w:rsid w:val="00B73866"/>
    <w:rsid w:val="00B8036A"/>
    <w:rsid w:val="00B92409"/>
    <w:rsid w:val="00BA6FCB"/>
    <w:rsid w:val="00BB263F"/>
    <w:rsid w:val="00BB6BCE"/>
    <w:rsid w:val="00BD146B"/>
    <w:rsid w:val="00BD24FD"/>
    <w:rsid w:val="00BF0471"/>
    <w:rsid w:val="00C058DA"/>
    <w:rsid w:val="00C25089"/>
    <w:rsid w:val="00C4554C"/>
    <w:rsid w:val="00C4787F"/>
    <w:rsid w:val="00C50796"/>
    <w:rsid w:val="00CA460E"/>
    <w:rsid w:val="00CB2705"/>
    <w:rsid w:val="00CB400B"/>
    <w:rsid w:val="00CC0074"/>
    <w:rsid w:val="00CC417C"/>
    <w:rsid w:val="00CE406C"/>
    <w:rsid w:val="00D03A95"/>
    <w:rsid w:val="00D072FA"/>
    <w:rsid w:val="00D126CC"/>
    <w:rsid w:val="00D14252"/>
    <w:rsid w:val="00D274F1"/>
    <w:rsid w:val="00D31AD4"/>
    <w:rsid w:val="00D4086B"/>
    <w:rsid w:val="00D42CDF"/>
    <w:rsid w:val="00D51179"/>
    <w:rsid w:val="00D52059"/>
    <w:rsid w:val="00D56655"/>
    <w:rsid w:val="00D5735A"/>
    <w:rsid w:val="00D60EE5"/>
    <w:rsid w:val="00D71652"/>
    <w:rsid w:val="00D90C6D"/>
    <w:rsid w:val="00DA080E"/>
    <w:rsid w:val="00DC13EC"/>
    <w:rsid w:val="00DD583B"/>
    <w:rsid w:val="00DE033B"/>
    <w:rsid w:val="00DE313E"/>
    <w:rsid w:val="00E00705"/>
    <w:rsid w:val="00E122FC"/>
    <w:rsid w:val="00E17D32"/>
    <w:rsid w:val="00E36459"/>
    <w:rsid w:val="00E43943"/>
    <w:rsid w:val="00E45673"/>
    <w:rsid w:val="00E64908"/>
    <w:rsid w:val="00E72262"/>
    <w:rsid w:val="00EE72A5"/>
    <w:rsid w:val="00EF5D6E"/>
    <w:rsid w:val="00F15FC3"/>
    <w:rsid w:val="00F37285"/>
    <w:rsid w:val="00F51A2B"/>
    <w:rsid w:val="00F54192"/>
    <w:rsid w:val="00F907CC"/>
    <w:rsid w:val="00F92DA3"/>
    <w:rsid w:val="00F95646"/>
    <w:rsid w:val="00FA335D"/>
    <w:rsid w:val="00FC588D"/>
    <w:rsid w:val="00FD4201"/>
    <w:rsid w:val="00FE6558"/>
    <w:rsid w:val="00FF3A26"/>
    <w:rsid w:val="00FF6B3B"/>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43E5B"/>
  <w15:docId w15:val="{9A3D4ACF-8272-4C8C-8DC3-27383BCB1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4FE6"/>
    <w:pPr>
      <w:ind w:left="720"/>
      <w:contextualSpacing/>
    </w:pPr>
  </w:style>
  <w:style w:type="table" w:styleId="a4">
    <w:name w:val="Table Grid"/>
    <w:basedOn w:val="a1"/>
    <w:uiPriority w:val="59"/>
    <w:rsid w:val="00BB26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5541A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541AC"/>
  </w:style>
  <w:style w:type="paragraph" w:styleId="a7">
    <w:name w:val="footer"/>
    <w:basedOn w:val="a"/>
    <w:link w:val="a8"/>
    <w:uiPriority w:val="99"/>
    <w:unhideWhenUsed/>
    <w:rsid w:val="005541A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541AC"/>
  </w:style>
  <w:style w:type="character" w:styleId="a9">
    <w:name w:val="Emphasis"/>
    <w:basedOn w:val="a0"/>
    <w:uiPriority w:val="20"/>
    <w:qFormat/>
    <w:rsid w:val="001B7B2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DF4F2-6410-4060-A31B-E7A4957BC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6</Pages>
  <Words>2275</Words>
  <Characters>12969</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WW</cp:lastModifiedBy>
  <cp:revision>5</cp:revision>
  <dcterms:created xsi:type="dcterms:W3CDTF">2020-04-15T11:48:00Z</dcterms:created>
  <dcterms:modified xsi:type="dcterms:W3CDTF">2020-04-16T08:21:00Z</dcterms:modified>
</cp:coreProperties>
</file>