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EEDA" w14:textId="77777777" w:rsidR="0074690D" w:rsidRDefault="0074690D" w:rsidP="00102439">
      <w:pPr>
        <w:jc w:val="center"/>
        <w:rPr>
          <w:rFonts w:ascii="Times New Roman" w:hAnsi="Times New Roman" w:cs="Times New Roman"/>
          <w:sz w:val="24"/>
          <w:szCs w:val="24"/>
          <w:lang w:val="en-US"/>
        </w:rPr>
      </w:pPr>
    </w:p>
    <w:p w14:paraId="1713B13C" w14:textId="6D8BB490" w:rsidR="00102439" w:rsidRPr="00673A0D" w:rsidRDefault="000D263C" w:rsidP="00102439">
      <w:pPr>
        <w:jc w:val="center"/>
        <w:rPr>
          <w:rFonts w:ascii="Times New Roman" w:hAnsi="Times New Roman" w:cs="Times New Roman"/>
          <w:sz w:val="24"/>
          <w:szCs w:val="24"/>
          <w:lang w:val="en-US"/>
        </w:rPr>
      </w:pPr>
      <w:r w:rsidRPr="00673A0D">
        <w:rPr>
          <w:rFonts w:ascii="Times New Roman" w:hAnsi="Times New Roman" w:cs="Times New Roman"/>
          <w:noProof/>
          <w:sz w:val="24"/>
          <w:szCs w:val="24"/>
        </w:rPr>
        <w:drawing>
          <wp:anchor distT="0" distB="0" distL="114300" distR="114300" simplePos="0" relativeHeight="251661312" behindDoc="1" locked="0" layoutInCell="1" allowOverlap="1" wp14:anchorId="4E625E56" wp14:editId="2D401E1E">
            <wp:simplePos x="0" y="0"/>
            <wp:positionH relativeFrom="page">
              <wp:align>center</wp:align>
            </wp:positionH>
            <wp:positionV relativeFrom="paragraph">
              <wp:posOffset>-357505</wp:posOffset>
            </wp:positionV>
            <wp:extent cx="1143000" cy="1136590"/>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0" cy="1136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73A0D">
        <w:rPr>
          <w:rFonts w:ascii="Times New Roman" w:hAnsi="Times New Roman" w:cs="Times New Roman"/>
          <w:noProof/>
          <w:sz w:val="24"/>
          <w:szCs w:val="24"/>
        </w:rPr>
        <w:drawing>
          <wp:anchor distT="0" distB="0" distL="114300" distR="114300" simplePos="0" relativeHeight="251659264" behindDoc="1" locked="0" layoutInCell="1" allowOverlap="1" wp14:anchorId="0873AC8A" wp14:editId="09755D73">
            <wp:simplePos x="0" y="0"/>
            <wp:positionH relativeFrom="column">
              <wp:posOffset>-927735</wp:posOffset>
            </wp:positionH>
            <wp:positionV relativeFrom="paragraph">
              <wp:posOffset>-300990</wp:posOffset>
            </wp:positionV>
            <wp:extent cx="2145735" cy="104775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0684" t="19955" r="31373" b="38427"/>
                    <a:stretch/>
                  </pic:blipFill>
                  <pic:spPr bwMode="auto">
                    <a:xfrm>
                      <a:off x="0" y="0"/>
                      <a:ext cx="214573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2439" w:rsidRPr="00673A0D">
        <w:rPr>
          <w:rFonts w:ascii="Times New Roman" w:hAnsi="Times New Roman" w:cs="Times New Roman"/>
          <w:b/>
          <w:bCs/>
          <w:noProof/>
          <w:sz w:val="24"/>
          <w:szCs w:val="24"/>
        </w:rPr>
        <w:drawing>
          <wp:anchor distT="0" distB="0" distL="114300" distR="114300" simplePos="0" relativeHeight="251658240" behindDoc="0" locked="0" layoutInCell="1" allowOverlap="1" wp14:anchorId="63CB994B" wp14:editId="4F9EB633">
            <wp:simplePos x="0" y="0"/>
            <wp:positionH relativeFrom="column">
              <wp:posOffset>4549140</wp:posOffset>
            </wp:positionH>
            <wp:positionV relativeFrom="paragraph">
              <wp:posOffset>-701040</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p>
    <w:p w14:paraId="54413385" w14:textId="0D4C3715" w:rsidR="00102439" w:rsidRPr="00673A0D" w:rsidRDefault="00102439" w:rsidP="00C623E0">
      <w:pPr>
        <w:jc w:val="center"/>
        <w:rPr>
          <w:rFonts w:ascii="Times New Roman" w:hAnsi="Times New Roman" w:cs="Times New Roman"/>
          <w:sz w:val="24"/>
          <w:szCs w:val="24"/>
          <w:lang w:val="en-US"/>
        </w:rPr>
      </w:pPr>
    </w:p>
    <w:p w14:paraId="2E941463" w14:textId="46C52EEC" w:rsidR="00102439" w:rsidRPr="00673A0D" w:rsidRDefault="00102439" w:rsidP="00C623E0">
      <w:pPr>
        <w:jc w:val="center"/>
        <w:rPr>
          <w:rFonts w:ascii="Times New Roman" w:hAnsi="Times New Roman" w:cs="Times New Roman"/>
          <w:sz w:val="24"/>
          <w:szCs w:val="24"/>
          <w:lang w:val="en-US"/>
        </w:rPr>
      </w:pPr>
    </w:p>
    <w:p w14:paraId="61D170C8" w14:textId="26B463BF" w:rsidR="00102439" w:rsidRPr="00673A0D" w:rsidRDefault="00C17A17" w:rsidP="00C17A17">
      <w:pPr>
        <w:tabs>
          <w:tab w:val="left" w:pos="510"/>
        </w:tabs>
        <w:rPr>
          <w:rFonts w:ascii="Times New Roman" w:hAnsi="Times New Roman" w:cs="Times New Roman"/>
          <w:sz w:val="24"/>
          <w:szCs w:val="24"/>
          <w:lang w:val="en-US"/>
        </w:rPr>
      </w:pPr>
      <w:r w:rsidRPr="00673A0D">
        <w:rPr>
          <w:rFonts w:ascii="Times New Roman" w:hAnsi="Times New Roman" w:cs="Times New Roman"/>
          <w:sz w:val="24"/>
          <w:szCs w:val="24"/>
          <w:lang w:val="en-US"/>
        </w:rPr>
        <w:tab/>
      </w:r>
    </w:p>
    <w:p w14:paraId="544B502B" w14:textId="17B8122E" w:rsidR="00102439" w:rsidRDefault="00102439" w:rsidP="00C623E0">
      <w:pPr>
        <w:jc w:val="center"/>
        <w:rPr>
          <w:rFonts w:ascii="Times New Roman" w:hAnsi="Times New Roman" w:cs="Times New Roman"/>
          <w:sz w:val="24"/>
          <w:szCs w:val="24"/>
          <w:lang w:val="en-US"/>
        </w:rPr>
      </w:pPr>
    </w:p>
    <w:p w14:paraId="248EADB4" w14:textId="77777777" w:rsidR="00BB113C" w:rsidRPr="002C1069" w:rsidRDefault="00BB113C" w:rsidP="00863E6A">
      <w:pPr>
        <w:bidi/>
        <w:jc w:val="center"/>
        <w:rPr>
          <w:b/>
          <w:bCs/>
          <w:sz w:val="36"/>
          <w:szCs w:val="36"/>
          <w:rtl/>
          <w:lang w:val="en-US" w:bidi="ar-EG"/>
        </w:rPr>
      </w:pPr>
      <w:r w:rsidRPr="002C1069">
        <w:rPr>
          <w:rFonts w:hint="cs"/>
          <w:b/>
          <w:bCs/>
          <w:sz w:val="36"/>
          <w:szCs w:val="36"/>
          <w:rtl/>
          <w:lang w:val="en-US" w:bidi="ar-EG"/>
        </w:rPr>
        <w:t>مذكرة تصورية</w:t>
      </w:r>
    </w:p>
    <w:p w14:paraId="4A01B6CB" w14:textId="448B0ED6" w:rsidR="00863E6A" w:rsidRPr="002C1069" w:rsidRDefault="00BB113C" w:rsidP="00BB113C">
      <w:pPr>
        <w:bidi/>
        <w:jc w:val="center"/>
        <w:rPr>
          <w:rFonts w:ascii="Times New Roman" w:hAnsi="Times New Roman" w:cs="Times New Roman"/>
          <w:b/>
          <w:bCs/>
          <w:sz w:val="36"/>
          <w:szCs w:val="36"/>
          <w:lang w:val="en-US"/>
        </w:rPr>
      </w:pPr>
      <w:r w:rsidRPr="002C1069">
        <w:rPr>
          <w:rFonts w:hint="cs"/>
          <w:b/>
          <w:bCs/>
          <w:sz w:val="36"/>
          <w:szCs w:val="36"/>
          <w:rtl/>
          <w:lang w:val="en-US" w:bidi="ar-EG"/>
        </w:rPr>
        <w:t>عن</w:t>
      </w:r>
    </w:p>
    <w:p w14:paraId="3ECE78B7" w14:textId="77777777" w:rsidR="00863E6A" w:rsidRPr="002C1069" w:rsidRDefault="00863E6A" w:rsidP="00863E6A">
      <w:pPr>
        <w:bidi/>
        <w:jc w:val="center"/>
        <w:rPr>
          <w:rFonts w:ascii="Times New Roman" w:hAnsi="Times New Roman" w:cs="Times New Roman"/>
          <w:b/>
          <w:bCs/>
          <w:sz w:val="36"/>
          <w:szCs w:val="36"/>
          <w:lang w:val="en-US"/>
        </w:rPr>
      </w:pPr>
      <w:r w:rsidRPr="002C1069">
        <w:rPr>
          <w:b/>
          <w:bCs/>
          <w:sz w:val="36"/>
          <w:szCs w:val="36"/>
          <w:rtl/>
          <w:lang w:bidi="ar"/>
        </w:rPr>
        <w:t>تعزيز تطوير سلسلة القيمة لزيت النخيل</w:t>
      </w:r>
    </w:p>
    <w:p w14:paraId="7CE9521C" w14:textId="77777777" w:rsidR="007D13EB" w:rsidRPr="00673A0D" w:rsidRDefault="007D13EB" w:rsidP="007D13EB">
      <w:pPr>
        <w:rPr>
          <w:rFonts w:ascii="Times New Roman" w:hAnsi="Times New Roman" w:cs="Times New Roman"/>
          <w:sz w:val="24"/>
          <w:szCs w:val="24"/>
          <w:lang w:val="en-US"/>
        </w:rPr>
      </w:pPr>
    </w:p>
    <w:p w14:paraId="1A2A027E" w14:textId="77777777" w:rsidR="00863E6A" w:rsidRPr="005A1836" w:rsidRDefault="00863E6A" w:rsidP="00863E6A">
      <w:pPr>
        <w:pStyle w:val="NormalWeb"/>
        <w:bidi/>
        <w:rPr>
          <w:rFonts w:ascii="Arial" w:hAnsi="Arial" w:cs="Arial"/>
          <w:b/>
          <w:bCs/>
          <w:sz w:val="28"/>
          <w:szCs w:val="28"/>
          <w:lang w:val="en-US"/>
        </w:rPr>
      </w:pPr>
      <w:r w:rsidRPr="005A1836">
        <w:rPr>
          <w:rFonts w:asciiTheme="minorHAnsi" w:eastAsiaTheme="minorHAnsi" w:hAnsiTheme="minorHAnsi" w:cstheme="minorBidi"/>
          <w:b/>
          <w:bCs/>
          <w:sz w:val="32"/>
          <w:szCs w:val="32"/>
          <w:rtl/>
          <w:lang w:eastAsia="en-US" w:bidi="ar"/>
        </w:rPr>
        <w:t>مقدمه</w:t>
      </w:r>
    </w:p>
    <w:p w14:paraId="798FF2AE" w14:textId="054E97ED" w:rsidR="008922CD" w:rsidRPr="005A1836" w:rsidRDefault="008922CD" w:rsidP="005A1836">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يعد إنتاج زيت النخيل واحد من السلع الأساسية الرئيسية والتصدير في معظم الدول الأعضاء في منظمة التعاون الإسلامي. ومع تصدر إندونيسيا القائمة العالمية لمصدري زيت النخيل، تليها ماليزيا ونيجيريا وكوت ديفوار والكاميرون وسيراليون في المراكز الثانية والخامسة والثامنة والخامسة عشرة والعشرين على التوالي، فإن أهمية زيت النخيل داخل منطقة منظمة التعاون الإسلامي كبيرة جدا. وبالتالي، هناك حاجة إلى </w:t>
      </w:r>
      <w:r w:rsidR="00491585" w:rsidRPr="005A1836">
        <w:rPr>
          <w:rFonts w:asciiTheme="minorHAnsi" w:eastAsiaTheme="minorHAnsi" w:hAnsiTheme="minorHAnsi" w:cstheme="minorBidi"/>
          <w:sz w:val="32"/>
          <w:szCs w:val="32"/>
          <w:rtl/>
          <w:lang w:eastAsia="en-US" w:bidi="ar"/>
        </w:rPr>
        <w:t>ا</w:t>
      </w:r>
      <w:r w:rsidRPr="005A1836">
        <w:rPr>
          <w:rFonts w:asciiTheme="minorHAnsi" w:eastAsiaTheme="minorHAnsi" w:hAnsiTheme="minorHAnsi" w:cstheme="minorBidi"/>
          <w:sz w:val="32"/>
          <w:szCs w:val="32"/>
          <w:rtl/>
          <w:lang w:eastAsia="en-US" w:bidi="ar"/>
        </w:rPr>
        <w:t>لمؤسسة المتخصصة الجديدة التابعة لمنظمة التعاون الإسلامي، وهي: المنظمة الإسلامية للأمن الغذائي، للنظر في إطار تعاون متعدد الأطراف من شأنه أن يساعد في تطوير سلسلة القيمة لهذا المنتج، استنادا ً إلى إمكاناته الغذائية والتصديرية. ولا يزال زيت النخيل صناعة استراتيجية بسبب مساهمته الكبيرة في الصادرات غير النفطية والغاز، وخلق فرص العمل على نطاق واسع، والتنمية الريفية، والحد من الفقر في مجموعة من البلدان الأعضاء في المنظمة الإسلامية للأمن الغذائي/منظمة التعاون الإسلامي.</w:t>
      </w:r>
    </w:p>
    <w:p w14:paraId="5B4A14E8" w14:textId="77777777" w:rsidR="00073E41" w:rsidRPr="005A1836" w:rsidRDefault="00073E41" w:rsidP="002C1069">
      <w:pPr>
        <w:pStyle w:val="NormalWeb"/>
        <w:bidi/>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الحالة الراهنة</w:t>
      </w:r>
    </w:p>
    <w:p w14:paraId="4410EC63" w14:textId="4822C33D" w:rsidR="00073E41" w:rsidRPr="005A1836" w:rsidRDefault="00073E41" w:rsidP="002C1069">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في العقود القليلة الماضية، جذبت صناعة زيت النخيل انتباه المجتمع العالمي بسبب تطورها السريع. وقد أدى توافر زيت النخيل في البلدان المتقدمة إلى تحقيق فوائد اقتصادية للبلدان المستوردة. أسعار زيت النخيل في الأسواق الدولية أرخص من الزيوت النباتية الأخرى. مع </w:t>
      </w:r>
      <w:r w:rsidRPr="005A1836">
        <w:rPr>
          <w:rFonts w:asciiTheme="minorHAnsi" w:eastAsiaTheme="minorHAnsi" w:hAnsiTheme="minorHAnsi" w:cstheme="minorBidi"/>
          <w:sz w:val="32"/>
          <w:szCs w:val="32"/>
          <w:rtl/>
          <w:lang w:eastAsia="en-US" w:bidi="ar"/>
        </w:rPr>
        <w:lastRenderedPageBreak/>
        <w:t>أسعار أكثر تنافسية</w:t>
      </w:r>
      <w:r w:rsidR="00491585" w:rsidRPr="005A1836">
        <w:rPr>
          <w:rFonts w:asciiTheme="minorHAnsi" w:eastAsiaTheme="minorHAnsi" w:hAnsiTheme="minorHAnsi" w:cstheme="minorBidi" w:hint="cs"/>
          <w:sz w:val="32"/>
          <w:szCs w:val="32"/>
          <w:rtl/>
          <w:lang w:eastAsia="en-US" w:bidi="ar"/>
        </w:rPr>
        <w:t xml:space="preserve"> و</w:t>
      </w:r>
      <w:r w:rsidRPr="005A1836">
        <w:rPr>
          <w:rFonts w:asciiTheme="minorHAnsi" w:eastAsiaTheme="minorHAnsi" w:hAnsiTheme="minorHAnsi" w:cstheme="minorBidi"/>
          <w:sz w:val="32"/>
          <w:szCs w:val="32"/>
          <w:rtl/>
          <w:lang w:eastAsia="en-US" w:bidi="ar"/>
        </w:rPr>
        <w:t>يوفر زيت النخيل المزيد من الفوائد للمجتمع العالمي وخاصة في البلدان المنخفضة الدخل.</w:t>
      </w:r>
    </w:p>
    <w:p w14:paraId="528B33F0" w14:textId="6FFEB3F4" w:rsidR="00863E6A" w:rsidRPr="005A1836" w:rsidRDefault="00390C92" w:rsidP="002C1069">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hint="cs"/>
          <w:sz w:val="32"/>
          <w:szCs w:val="32"/>
          <w:rtl/>
          <w:lang w:eastAsia="en-US" w:bidi="ar"/>
        </w:rPr>
        <w:t>يتوفر</w:t>
      </w:r>
      <w:r w:rsidR="00863E6A" w:rsidRPr="005A1836">
        <w:rPr>
          <w:rFonts w:asciiTheme="minorHAnsi" w:eastAsiaTheme="minorHAnsi" w:hAnsiTheme="minorHAnsi" w:cstheme="minorBidi"/>
          <w:sz w:val="32"/>
          <w:szCs w:val="32"/>
          <w:rtl/>
          <w:lang w:eastAsia="en-US" w:bidi="ar"/>
        </w:rPr>
        <w:t xml:space="preserve">زيت النخيل كزيت نباتي </w:t>
      </w:r>
      <w:r w:rsidRPr="005A1836">
        <w:rPr>
          <w:rFonts w:asciiTheme="minorHAnsi" w:eastAsiaTheme="minorHAnsi" w:hAnsiTheme="minorHAnsi" w:cstheme="minorBidi" w:hint="cs"/>
          <w:sz w:val="32"/>
          <w:szCs w:val="32"/>
          <w:rtl/>
          <w:lang w:eastAsia="en-US" w:bidi="ar"/>
        </w:rPr>
        <w:t xml:space="preserve">بكميات كافية </w:t>
      </w:r>
      <w:r w:rsidR="00863E6A" w:rsidRPr="005A1836">
        <w:rPr>
          <w:rFonts w:asciiTheme="minorHAnsi" w:eastAsiaTheme="minorHAnsi" w:hAnsiTheme="minorHAnsi" w:cstheme="minorBidi"/>
          <w:sz w:val="32"/>
          <w:szCs w:val="32"/>
          <w:rtl/>
          <w:lang w:eastAsia="en-US" w:bidi="ar"/>
        </w:rPr>
        <w:t xml:space="preserve">على الصعيد العالمي بأسعار تنافسية. وهذا هو السبب  في أنها تستهلك تقريبا في كل بلد في العالم. بسبب توافرها، ظهرت حملات سلبية ضد صناعة زيت النخيل. وكانت هذه الحملات تقتصر في الأصل على المسائل </w:t>
      </w:r>
      <w:r w:rsidRPr="005A1836">
        <w:rPr>
          <w:rFonts w:asciiTheme="minorHAnsi" w:eastAsiaTheme="minorHAnsi" w:hAnsiTheme="minorHAnsi" w:cstheme="minorBidi" w:hint="cs"/>
          <w:sz w:val="32"/>
          <w:szCs w:val="32"/>
          <w:rtl/>
          <w:lang w:eastAsia="en-US" w:bidi="ar"/>
        </w:rPr>
        <w:t>المتعلقة</w:t>
      </w:r>
      <w:r w:rsidR="00863E6A" w:rsidRPr="005A1836">
        <w:rPr>
          <w:rFonts w:asciiTheme="minorHAnsi" w:eastAsiaTheme="minorHAnsi" w:hAnsiTheme="minorHAnsi" w:cstheme="minorBidi"/>
          <w:sz w:val="32"/>
          <w:szCs w:val="32"/>
          <w:rtl/>
          <w:lang w:eastAsia="en-US" w:bidi="ar"/>
        </w:rPr>
        <w:t xml:space="preserve"> بالتغذية والصحة  في محاولة للتأثير على المستهلكين، ثم توسعت هذه الحملات في وقت لاحق لتشمل الجوانب الاقتصادية والاجتماعية والبيئية.</w:t>
      </w:r>
    </w:p>
    <w:p w14:paraId="5E261AAB" w14:textId="4722DA8A" w:rsidR="00863E6A" w:rsidRPr="005A1836" w:rsidRDefault="00863E6A" w:rsidP="002C1069">
      <w:pPr>
        <w:pStyle w:val="NormalWeb"/>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 xml:space="preserve">يمكن أن يهدد سوء الفهم </w:t>
      </w:r>
      <w:r w:rsidR="00491585" w:rsidRPr="005A1836">
        <w:rPr>
          <w:rFonts w:asciiTheme="minorHAnsi" w:eastAsiaTheme="minorHAnsi" w:hAnsiTheme="minorHAnsi" w:cstheme="minorBidi"/>
          <w:sz w:val="32"/>
          <w:szCs w:val="32"/>
          <w:rtl/>
          <w:lang w:eastAsia="en-US" w:bidi="ar"/>
        </w:rPr>
        <w:t xml:space="preserve">مستقبل </w:t>
      </w:r>
      <w:r w:rsidRPr="005A1836">
        <w:rPr>
          <w:rFonts w:asciiTheme="minorHAnsi" w:eastAsiaTheme="minorHAnsi" w:hAnsiTheme="minorHAnsi" w:cstheme="minorBidi"/>
          <w:sz w:val="32"/>
          <w:szCs w:val="32"/>
          <w:rtl/>
          <w:lang w:eastAsia="en-US" w:bidi="ar"/>
        </w:rPr>
        <w:t xml:space="preserve">صناعة زيت النخيل في تلك البلدان، </w:t>
      </w:r>
      <w:r w:rsidR="00390C92" w:rsidRPr="005A1836">
        <w:rPr>
          <w:rFonts w:asciiTheme="minorHAnsi" w:eastAsiaTheme="minorHAnsi" w:hAnsiTheme="minorHAnsi" w:cstheme="minorBidi" w:hint="cs"/>
          <w:sz w:val="32"/>
          <w:szCs w:val="32"/>
          <w:rtl/>
          <w:lang w:eastAsia="en-US" w:bidi="ar"/>
        </w:rPr>
        <w:t>و</w:t>
      </w:r>
      <w:r w:rsidRPr="005A1836">
        <w:rPr>
          <w:rFonts w:asciiTheme="minorHAnsi" w:eastAsiaTheme="minorHAnsi" w:hAnsiTheme="minorHAnsi" w:cstheme="minorBidi"/>
          <w:sz w:val="32"/>
          <w:szCs w:val="32"/>
          <w:rtl/>
          <w:lang w:eastAsia="en-US" w:bidi="ar"/>
        </w:rPr>
        <w:t xml:space="preserve">التي تعتمد التنمية الاقتصادية في الغالب على مستويات إنتاج زيت النخيل. أصبحت صناعة زيت النخيل مصدر </w:t>
      </w:r>
      <w:r w:rsidR="00491585" w:rsidRPr="005A1836">
        <w:rPr>
          <w:rFonts w:asciiTheme="minorHAnsi" w:eastAsiaTheme="minorHAnsi" w:hAnsiTheme="minorHAnsi" w:cstheme="minorBidi" w:hint="cs"/>
          <w:sz w:val="32"/>
          <w:szCs w:val="32"/>
          <w:rtl/>
          <w:lang w:eastAsia="en-US" w:bidi="ar"/>
        </w:rPr>
        <w:t>ل</w:t>
      </w:r>
      <w:r w:rsidRPr="005A1836">
        <w:rPr>
          <w:rFonts w:asciiTheme="minorHAnsi" w:eastAsiaTheme="minorHAnsi" w:hAnsiTheme="minorHAnsi" w:cstheme="minorBidi"/>
          <w:sz w:val="32"/>
          <w:szCs w:val="32"/>
          <w:rtl/>
          <w:lang w:eastAsia="en-US" w:bidi="ar"/>
        </w:rPr>
        <w:t xml:space="preserve">دخل </w:t>
      </w:r>
      <w:r w:rsidR="00491585" w:rsidRPr="005A1836">
        <w:rPr>
          <w:rFonts w:asciiTheme="minorHAnsi" w:eastAsiaTheme="minorHAnsi" w:hAnsiTheme="minorHAnsi" w:cstheme="minorBidi" w:hint="cs"/>
          <w:sz w:val="32"/>
          <w:szCs w:val="32"/>
          <w:rtl/>
          <w:lang w:eastAsia="en-US" w:bidi="ar"/>
        </w:rPr>
        <w:t>ا</w:t>
      </w:r>
      <w:r w:rsidRPr="005A1836">
        <w:rPr>
          <w:rFonts w:asciiTheme="minorHAnsi" w:eastAsiaTheme="minorHAnsi" w:hAnsiTheme="minorHAnsi" w:cstheme="minorBidi"/>
          <w:sz w:val="32"/>
          <w:szCs w:val="32"/>
          <w:rtl/>
          <w:lang w:eastAsia="en-US" w:bidi="ar"/>
        </w:rPr>
        <w:t xml:space="preserve">لملايين </w:t>
      </w:r>
      <w:r w:rsidR="00491585" w:rsidRPr="005A1836">
        <w:rPr>
          <w:rFonts w:asciiTheme="minorHAnsi" w:eastAsiaTheme="minorHAnsi" w:hAnsiTheme="minorHAnsi" w:cstheme="minorBidi" w:hint="cs"/>
          <w:sz w:val="32"/>
          <w:szCs w:val="32"/>
          <w:rtl/>
          <w:lang w:eastAsia="en-US" w:bidi="ar"/>
        </w:rPr>
        <w:t xml:space="preserve">من </w:t>
      </w:r>
      <w:r w:rsidRPr="005A1836">
        <w:rPr>
          <w:rFonts w:asciiTheme="minorHAnsi" w:eastAsiaTheme="minorHAnsi" w:hAnsiTheme="minorHAnsi" w:cstheme="minorBidi"/>
          <w:sz w:val="32"/>
          <w:szCs w:val="32"/>
          <w:rtl/>
          <w:lang w:eastAsia="en-US" w:bidi="ar"/>
        </w:rPr>
        <w:t xml:space="preserve">الناس، والتي تشمل أصحاب المزارع الصغيرة، والشركات الصغيرة والمتوسطة والشركات الأكبر المنتجة لزيت النخيل. </w:t>
      </w:r>
    </w:p>
    <w:p w14:paraId="441C6CDB" w14:textId="77777777" w:rsidR="00863E6A" w:rsidRPr="005A1836" w:rsidRDefault="00863E6A" w:rsidP="00863E6A">
      <w:pPr>
        <w:pStyle w:val="NormalWeb"/>
        <w:bidi/>
        <w:jc w:val="both"/>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مقارنة إنتاجية مختلف المحاصيل المنتجة للزيت النباتي</w:t>
      </w:r>
    </w:p>
    <w:tbl>
      <w:tblPr>
        <w:tblStyle w:val="TableGrid"/>
        <w:bidiVisual/>
        <w:tblW w:w="0" w:type="auto"/>
        <w:tblLook w:val="04A0" w:firstRow="1" w:lastRow="0" w:firstColumn="1" w:lastColumn="0" w:noHBand="0" w:noVBand="1"/>
      </w:tblPr>
      <w:tblGrid>
        <w:gridCol w:w="704"/>
        <w:gridCol w:w="5277"/>
        <w:gridCol w:w="3364"/>
      </w:tblGrid>
      <w:tr w:rsidR="00863E6A" w:rsidRPr="00673A0D" w14:paraId="67E0CDB2" w14:textId="77777777" w:rsidTr="00755366">
        <w:tc>
          <w:tcPr>
            <w:tcW w:w="704" w:type="dxa"/>
          </w:tcPr>
          <w:p w14:paraId="1188D498" w14:textId="0591ED7E" w:rsidR="00863E6A" w:rsidRPr="005A1836" w:rsidRDefault="005A1836"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hint="cs"/>
                <w:b/>
                <w:bCs/>
                <w:sz w:val="32"/>
                <w:szCs w:val="32"/>
                <w:rtl/>
                <w:lang w:eastAsia="en-US" w:bidi="ar"/>
              </w:rPr>
              <w:t>رقم</w:t>
            </w:r>
          </w:p>
        </w:tc>
        <w:tc>
          <w:tcPr>
            <w:tcW w:w="5277" w:type="dxa"/>
          </w:tcPr>
          <w:p w14:paraId="49508630"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المحاصيل</w:t>
            </w:r>
          </w:p>
        </w:tc>
        <w:tc>
          <w:tcPr>
            <w:tcW w:w="3364" w:type="dxa"/>
          </w:tcPr>
          <w:p w14:paraId="3138B768"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الإنتاجية (طن/هكتار/سنة)</w:t>
            </w:r>
          </w:p>
        </w:tc>
      </w:tr>
      <w:tr w:rsidR="00863E6A" w:rsidRPr="00673A0D" w14:paraId="7A351712" w14:textId="77777777" w:rsidTr="00755366">
        <w:tc>
          <w:tcPr>
            <w:tcW w:w="704" w:type="dxa"/>
          </w:tcPr>
          <w:p w14:paraId="3640195B"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1</w:t>
            </w:r>
          </w:p>
        </w:tc>
        <w:tc>
          <w:tcPr>
            <w:tcW w:w="5277" w:type="dxa"/>
          </w:tcPr>
          <w:p w14:paraId="54197CEB"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زيت النخيل</w:t>
            </w:r>
          </w:p>
        </w:tc>
        <w:tc>
          <w:tcPr>
            <w:tcW w:w="3364" w:type="dxa"/>
          </w:tcPr>
          <w:p w14:paraId="70DA1A6F"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4.27</w:t>
            </w:r>
          </w:p>
        </w:tc>
      </w:tr>
      <w:tr w:rsidR="00863E6A" w:rsidRPr="00673A0D" w14:paraId="103BB68E" w14:textId="77777777" w:rsidTr="00755366">
        <w:tc>
          <w:tcPr>
            <w:tcW w:w="704" w:type="dxa"/>
          </w:tcPr>
          <w:p w14:paraId="61C30C64"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2</w:t>
            </w:r>
          </w:p>
        </w:tc>
        <w:tc>
          <w:tcPr>
            <w:tcW w:w="5277" w:type="dxa"/>
          </w:tcPr>
          <w:p w14:paraId="12BF461A" w14:textId="0421C4A4" w:rsidR="00863E6A" w:rsidRPr="005A1836" w:rsidRDefault="00C55290"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hint="cs"/>
                <w:sz w:val="32"/>
                <w:szCs w:val="32"/>
                <w:rtl/>
                <w:lang w:eastAsia="en-US" w:bidi="ar"/>
              </w:rPr>
              <w:t>الكانولا</w:t>
            </w:r>
          </w:p>
        </w:tc>
        <w:tc>
          <w:tcPr>
            <w:tcW w:w="3364" w:type="dxa"/>
          </w:tcPr>
          <w:p w14:paraId="4EF10AE4"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0.69</w:t>
            </w:r>
          </w:p>
        </w:tc>
      </w:tr>
      <w:tr w:rsidR="00863E6A" w:rsidRPr="00673A0D" w14:paraId="11288789" w14:textId="77777777" w:rsidTr="00755366">
        <w:tc>
          <w:tcPr>
            <w:tcW w:w="704" w:type="dxa"/>
          </w:tcPr>
          <w:p w14:paraId="5DD72460"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3</w:t>
            </w:r>
          </w:p>
        </w:tc>
        <w:tc>
          <w:tcPr>
            <w:tcW w:w="5277" w:type="dxa"/>
          </w:tcPr>
          <w:p w14:paraId="219B58F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عباد الشمس</w:t>
            </w:r>
          </w:p>
        </w:tc>
        <w:tc>
          <w:tcPr>
            <w:tcW w:w="3364" w:type="dxa"/>
          </w:tcPr>
          <w:p w14:paraId="5FB07FED"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0.52</w:t>
            </w:r>
          </w:p>
        </w:tc>
      </w:tr>
      <w:tr w:rsidR="00863E6A" w:rsidRPr="00673A0D" w14:paraId="4B902B1C" w14:textId="77777777" w:rsidTr="00755366">
        <w:tc>
          <w:tcPr>
            <w:tcW w:w="704" w:type="dxa"/>
          </w:tcPr>
          <w:p w14:paraId="5AE43D7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w:t>
            </w:r>
          </w:p>
        </w:tc>
        <w:tc>
          <w:tcPr>
            <w:tcW w:w="5277" w:type="dxa"/>
          </w:tcPr>
          <w:p w14:paraId="01175FB2"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الفول السوداني</w:t>
            </w:r>
          </w:p>
        </w:tc>
        <w:tc>
          <w:tcPr>
            <w:tcW w:w="3364" w:type="dxa"/>
          </w:tcPr>
          <w:p w14:paraId="78BED221"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0.45</w:t>
            </w:r>
          </w:p>
        </w:tc>
      </w:tr>
      <w:tr w:rsidR="00863E6A" w:rsidRPr="00673A0D" w14:paraId="27E1E900" w14:textId="77777777" w:rsidTr="00755366">
        <w:tc>
          <w:tcPr>
            <w:tcW w:w="704" w:type="dxa"/>
          </w:tcPr>
          <w:p w14:paraId="74D29E92"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5</w:t>
            </w:r>
          </w:p>
        </w:tc>
        <w:tc>
          <w:tcPr>
            <w:tcW w:w="5277" w:type="dxa"/>
          </w:tcPr>
          <w:p w14:paraId="4F1A393B"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فول الصويا</w:t>
            </w:r>
          </w:p>
        </w:tc>
        <w:tc>
          <w:tcPr>
            <w:tcW w:w="3364" w:type="dxa"/>
          </w:tcPr>
          <w:p w14:paraId="3C125F61"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0.45</w:t>
            </w:r>
          </w:p>
        </w:tc>
      </w:tr>
      <w:tr w:rsidR="00863E6A" w:rsidRPr="00673A0D" w14:paraId="4254006B" w14:textId="77777777" w:rsidTr="00755366">
        <w:tc>
          <w:tcPr>
            <w:tcW w:w="704" w:type="dxa"/>
          </w:tcPr>
          <w:p w14:paraId="20B479E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6</w:t>
            </w:r>
          </w:p>
        </w:tc>
        <w:tc>
          <w:tcPr>
            <w:tcW w:w="5277" w:type="dxa"/>
          </w:tcPr>
          <w:p w14:paraId="46B51850"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جوز الهند</w:t>
            </w:r>
          </w:p>
        </w:tc>
        <w:tc>
          <w:tcPr>
            <w:tcW w:w="3364" w:type="dxa"/>
          </w:tcPr>
          <w:p w14:paraId="2C7291E6"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0.34</w:t>
            </w:r>
          </w:p>
        </w:tc>
      </w:tr>
      <w:tr w:rsidR="00863E6A" w:rsidRPr="00673A0D" w14:paraId="3C58591E" w14:textId="77777777" w:rsidTr="00755366">
        <w:tc>
          <w:tcPr>
            <w:tcW w:w="704" w:type="dxa"/>
          </w:tcPr>
          <w:p w14:paraId="2BA0D6DF"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7</w:t>
            </w:r>
          </w:p>
        </w:tc>
        <w:tc>
          <w:tcPr>
            <w:tcW w:w="5277" w:type="dxa"/>
          </w:tcPr>
          <w:p w14:paraId="54600639"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القطن</w:t>
            </w:r>
          </w:p>
        </w:tc>
        <w:tc>
          <w:tcPr>
            <w:tcW w:w="3364" w:type="dxa"/>
          </w:tcPr>
          <w:p w14:paraId="02DB910D" w14:textId="77777777" w:rsidR="00863E6A" w:rsidRPr="005A1836" w:rsidRDefault="00863E6A" w:rsidP="00755366">
            <w:pPr>
              <w:pStyle w:val="NormalWeb"/>
              <w:bidi/>
              <w:jc w:val="center"/>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0.19</w:t>
            </w:r>
          </w:p>
        </w:tc>
      </w:tr>
    </w:tbl>
    <w:p w14:paraId="6A3AA428" w14:textId="05B61423" w:rsidR="00EC0A3A" w:rsidRPr="00C833F8" w:rsidRDefault="00863E6A" w:rsidP="00C833F8">
      <w:pPr>
        <w:pStyle w:val="NormalWeb"/>
        <w:bidi/>
        <w:jc w:val="both"/>
        <w:rPr>
          <w:b/>
          <w:bCs/>
          <w:i/>
          <w:iCs/>
          <w:sz w:val="20"/>
          <w:szCs w:val="20"/>
          <w:rtl/>
          <w:lang w:val="en-US"/>
        </w:rPr>
      </w:pPr>
      <w:r w:rsidRPr="00673A0D">
        <w:rPr>
          <w:b/>
          <w:bCs/>
          <w:i/>
          <w:iCs/>
          <w:sz w:val="20"/>
          <w:szCs w:val="20"/>
          <w:rtl/>
          <w:lang w:bidi="ar"/>
        </w:rPr>
        <w:t xml:space="preserve">المصدر: عالم </w:t>
      </w:r>
      <w:r w:rsidR="00C55290">
        <w:rPr>
          <w:rFonts w:hint="cs"/>
          <w:b/>
          <w:bCs/>
          <w:i/>
          <w:iCs/>
          <w:sz w:val="20"/>
          <w:szCs w:val="20"/>
          <w:rtl/>
          <w:lang w:bidi="ar"/>
        </w:rPr>
        <w:t>الزيت</w:t>
      </w:r>
      <w:r w:rsidRPr="00673A0D">
        <w:rPr>
          <w:b/>
          <w:bCs/>
          <w:i/>
          <w:iCs/>
          <w:sz w:val="20"/>
          <w:szCs w:val="20"/>
          <w:rtl/>
          <w:lang w:bidi="ar"/>
        </w:rPr>
        <w:t xml:space="preserve"> (2008) إحصاءات عالم </w:t>
      </w:r>
      <w:r w:rsidR="00C55290">
        <w:rPr>
          <w:rFonts w:hint="cs"/>
          <w:b/>
          <w:bCs/>
          <w:i/>
          <w:iCs/>
          <w:sz w:val="20"/>
          <w:szCs w:val="20"/>
          <w:rtl/>
          <w:lang w:bidi="ar"/>
        </w:rPr>
        <w:t>الزيت</w:t>
      </w:r>
      <w:r w:rsidRPr="00673A0D">
        <w:rPr>
          <w:b/>
          <w:bCs/>
          <w:i/>
          <w:iCs/>
          <w:sz w:val="20"/>
          <w:szCs w:val="20"/>
          <w:rtl/>
          <w:lang w:bidi="ar"/>
        </w:rPr>
        <w:t xml:space="preserve"> ISTA Mielke GmBh هامبورغ</w:t>
      </w:r>
    </w:p>
    <w:p w14:paraId="6DDD3761" w14:textId="77777777" w:rsidR="00C833F8" w:rsidRDefault="00C833F8" w:rsidP="002C1069">
      <w:pPr>
        <w:pStyle w:val="NormalWeb"/>
        <w:bidi/>
        <w:spacing w:line="360" w:lineRule="auto"/>
        <w:jc w:val="both"/>
        <w:rPr>
          <w:rFonts w:ascii="Arial" w:hAnsi="Arial" w:cs="Arial"/>
          <w:rtl/>
          <w:lang w:bidi="ar"/>
        </w:rPr>
      </w:pPr>
    </w:p>
    <w:p w14:paraId="63F74313" w14:textId="352F2CFA" w:rsidR="00863E6A" w:rsidRPr="005A1836" w:rsidRDefault="00863E6A"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إنتاجية زيت النخيل  </w:t>
      </w:r>
      <w:r w:rsidR="003075E9" w:rsidRPr="005A1836">
        <w:rPr>
          <w:rFonts w:asciiTheme="minorHAnsi" w:eastAsiaTheme="minorHAnsi" w:hAnsiTheme="minorHAnsi" w:cstheme="minorBidi"/>
          <w:sz w:val="32"/>
          <w:szCs w:val="32"/>
          <w:rtl/>
          <w:lang w:eastAsia="en-US" w:bidi="ar"/>
        </w:rPr>
        <w:t xml:space="preserve">أعلى </w:t>
      </w:r>
      <w:r w:rsidR="00934155" w:rsidRPr="005A1836">
        <w:rPr>
          <w:rFonts w:asciiTheme="minorHAnsi" w:eastAsiaTheme="minorHAnsi" w:hAnsiTheme="minorHAnsi" w:cstheme="minorBidi" w:hint="cs"/>
          <w:sz w:val="32"/>
          <w:szCs w:val="32"/>
          <w:rtl/>
          <w:lang w:eastAsia="en-US" w:bidi="ar"/>
        </w:rPr>
        <w:t xml:space="preserve">من </w:t>
      </w:r>
      <w:r w:rsidRPr="005A1836">
        <w:rPr>
          <w:rFonts w:asciiTheme="minorHAnsi" w:eastAsiaTheme="minorHAnsi" w:hAnsiTheme="minorHAnsi" w:cstheme="minorBidi"/>
          <w:sz w:val="32"/>
          <w:szCs w:val="32"/>
          <w:rtl/>
          <w:lang w:eastAsia="en-US" w:bidi="ar"/>
        </w:rPr>
        <w:t>ثماني</w:t>
      </w:r>
      <w:r w:rsidR="00934155" w:rsidRPr="005A1836">
        <w:rPr>
          <w:rFonts w:asciiTheme="minorHAnsi" w:eastAsiaTheme="minorHAnsi" w:hAnsiTheme="minorHAnsi" w:cstheme="minorBidi"/>
          <w:sz w:val="32"/>
          <w:szCs w:val="32"/>
          <w:lang w:eastAsia="en-US" w:bidi="ar"/>
        </w:rPr>
        <w:t xml:space="preserve"> </w:t>
      </w:r>
      <w:r w:rsidR="00934155" w:rsidRPr="005A1836">
        <w:rPr>
          <w:rFonts w:asciiTheme="minorHAnsi" w:eastAsiaTheme="minorHAnsi" w:hAnsiTheme="minorHAnsi" w:cstheme="minorBidi" w:hint="cs"/>
          <w:sz w:val="32"/>
          <w:szCs w:val="32"/>
          <w:rtl/>
          <w:lang w:eastAsia="en-US" w:bidi="ar"/>
        </w:rPr>
        <w:t xml:space="preserve">إلي </w:t>
      </w:r>
      <w:r w:rsidRPr="005A1836">
        <w:rPr>
          <w:rFonts w:asciiTheme="minorHAnsi" w:eastAsiaTheme="minorHAnsi" w:hAnsiTheme="minorHAnsi" w:cstheme="minorBidi"/>
          <w:sz w:val="32"/>
          <w:szCs w:val="32"/>
          <w:rtl/>
          <w:lang w:eastAsia="en-US" w:bidi="ar"/>
        </w:rPr>
        <w:t xml:space="preserve">عشر مرات من إنتاجية الزيوت النباتية الأخرى. </w:t>
      </w:r>
      <w:r w:rsidR="00934155" w:rsidRPr="005A1836">
        <w:rPr>
          <w:rFonts w:asciiTheme="minorHAnsi" w:eastAsiaTheme="minorHAnsi" w:hAnsiTheme="minorHAnsi" w:cstheme="minorBidi" w:hint="cs"/>
          <w:sz w:val="32"/>
          <w:szCs w:val="32"/>
          <w:rtl/>
          <w:lang w:eastAsia="en-US" w:bidi="ar"/>
        </w:rPr>
        <w:t>وبالتالي</w:t>
      </w:r>
      <w:r w:rsidRPr="005A1836">
        <w:rPr>
          <w:rFonts w:asciiTheme="minorHAnsi" w:eastAsiaTheme="minorHAnsi" w:hAnsiTheme="minorHAnsi" w:cstheme="minorBidi"/>
          <w:sz w:val="32"/>
          <w:szCs w:val="32"/>
          <w:rtl/>
          <w:lang w:eastAsia="en-US" w:bidi="ar"/>
        </w:rPr>
        <w:t xml:space="preserve">، مع </w:t>
      </w:r>
      <w:r w:rsidR="00934155" w:rsidRPr="005A1836">
        <w:rPr>
          <w:rFonts w:asciiTheme="minorHAnsi" w:eastAsiaTheme="minorHAnsi" w:hAnsiTheme="minorHAnsi" w:cstheme="minorBidi" w:hint="cs"/>
          <w:sz w:val="32"/>
          <w:szCs w:val="32"/>
          <w:rtl/>
          <w:lang w:eastAsia="en-US" w:bidi="ar"/>
        </w:rPr>
        <w:t xml:space="preserve">مساحة </w:t>
      </w:r>
      <w:r w:rsidRPr="005A1836">
        <w:rPr>
          <w:rFonts w:asciiTheme="minorHAnsi" w:eastAsiaTheme="minorHAnsi" w:hAnsiTheme="minorHAnsi" w:cstheme="minorBidi"/>
          <w:sz w:val="32"/>
          <w:szCs w:val="32"/>
          <w:rtl/>
          <w:lang w:eastAsia="en-US" w:bidi="ar"/>
        </w:rPr>
        <w:t xml:space="preserve">أقل </w:t>
      </w:r>
      <w:r w:rsidR="00934155" w:rsidRPr="005A1836">
        <w:rPr>
          <w:rFonts w:asciiTheme="minorHAnsi" w:eastAsiaTheme="minorHAnsi" w:hAnsiTheme="minorHAnsi" w:cstheme="minorBidi" w:hint="cs"/>
          <w:sz w:val="32"/>
          <w:szCs w:val="32"/>
          <w:rtl/>
          <w:lang w:eastAsia="en-US" w:bidi="ar"/>
        </w:rPr>
        <w:t xml:space="preserve">من </w:t>
      </w:r>
      <w:r w:rsidRPr="005A1836">
        <w:rPr>
          <w:rFonts w:asciiTheme="minorHAnsi" w:eastAsiaTheme="minorHAnsi" w:hAnsiTheme="minorHAnsi" w:cstheme="minorBidi"/>
          <w:sz w:val="32"/>
          <w:szCs w:val="32"/>
          <w:rtl/>
          <w:lang w:eastAsia="en-US" w:bidi="ar"/>
        </w:rPr>
        <w:t xml:space="preserve">الأراض، </w:t>
      </w:r>
      <w:r w:rsidR="00934155" w:rsidRPr="005A1836">
        <w:rPr>
          <w:rFonts w:asciiTheme="minorHAnsi" w:eastAsiaTheme="minorHAnsi" w:hAnsiTheme="minorHAnsi" w:cstheme="minorBidi" w:hint="cs"/>
          <w:sz w:val="32"/>
          <w:szCs w:val="32"/>
          <w:rtl/>
          <w:lang w:eastAsia="en-US" w:bidi="ar"/>
        </w:rPr>
        <w:t xml:space="preserve">يمكن ان ينتج </w:t>
      </w:r>
      <w:r w:rsidRPr="005A1836">
        <w:rPr>
          <w:rFonts w:asciiTheme="minorHAnsi" w:eastAsiaTheme="minorHAnsi" w:hAnsiTheme="minorHAnsi" w:cstheme="minorBidi"/>
          <w:sz w:val="32"/>
          <w:szCs w:val="32"/>
          <w:rtl/>
          <w:lang w:eastAsia="en-US" w:bidi="ar"/>
        </w:rPr>
        <w:t>مزارع زيت النخيل المزيد من الزيت النباتي. وتكشف بيانات إنتاجية الزيت النباتي أيضا أن مزارع نخيل الزيت هي أكثر المحاصيل كفاءة في تحويل الطاقة الشمسية إلى زيوت نباتية.</w:t>
      </w:r>
    </w:p>
    <w:p w14:paraId="7FB6B586" w14:textId="57082574" w:rsidR="00863E6A" w:rsidRPr="005A1836" w:rsidRDefault="00863E6A" w:rsidP="002C1069">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lastRenderedPageBreak/>
        <w:t>وبسبب هذا الاختلاف في إنتاجية الزيت للهكتار الواحد، حدث تغير كبير في حصة زيت النخيل وإنتاج زيت فول الصويا في سوق الخضروات العالمية (انظر الشكل أدناه)</w:t>
      </w:r>
    </w:p>
    <w:p w14:paraId="201278F3" w14:textId="77777777" w:rsidR="00863E6A" w:rsidRPr="00673A0D" w:rsidRDefault="00863E6A" w:rsidP="00133EE6">
      <w:pPr>
        <w:pStyle w:val="NormalWeb"/>
        <w:jc w:val="both"/>
        <w:rPr>
          <w:lang w:val="en-US"/>
        </w:rPr>
      </w:pPr>
    </w:p>
    <w:tbl>
      <w:tblPr>
        <w:tblW w:w="10233" w:type="dxa"/>
        <w:tblLook w:val="04A0" w:firstRow="1" w:lastRow="0" w:firstColumn="1" w:lastColumn="0" w:noHBand="0" w:noVBand="1"/>
      </w:tblPr>
      <w:tblGrid>
        <w:gridCol w:w="1113"/>
        <w:gridCol w:w="912"/>
        <w:gridCol w:w="912"/>
        <w:gridCol w:w="912"/>
        <w:gridCol w:w="912"/>
        <w:gridCol w:w="912"/>
        <w:gridCol w:w="912"/>
        <w:gridCol w:w="912"/>
        <w:gridCol w:w="912"/>
        <w:gridCol w:w="912"/>
        <w:gridCol w:w="912"/>
      </w:tblGrid>
      <w:tr w:rsidR="003A59F0" w:rsidRPr="003A59F0" w14:paraId="3FB8ACCD" w14:textId="77777777" w:rsidTr="00C66199">
        <w:trPr>
          <w:trHeight w:val="391"/>
        </w:trPr>
        <w:tc>
          <w:tcPr>
            <w:tcW w:w="1113" w:type="dxa"/>
            <w:tcBorders>
              <w:top w:val="nil"/>
              <w:left w:val="nil"/>
              <w:bottom w:val="nil"/>
              <w:right w:val="nil"/>
            </w:tcBorders>
            <w:shd w:val="clear" w:color="auto" w:fill="auto"/>
            <w:noWrap/>
            <w:vAlign w:val="bottom"/>
            <w:hideMark/>
          </w:tcPr>
          <w:p w14:paraId="56EDAAA4" w14:textId="77777777" w:rsidR="003A59F0" w:rsidRPr="003A59F0" w:rsidRDefault="003A59F0" w:rsidP="003A59F0">
            <w:pPr>
              <w:spacing w:after="0" w:line="240" w:lineRule="auto"/>
              <w:rPr>
                <w:rFonts w:ascii="Times New Roman" w:eastAsia="Times New Roman" w:hAnsi="Times New Roman" w:cs="Times New Roman"/>
                <w:sz w:val="24"/>
                <w:szCs w:val="24"/>
                <w:lang w:val="en-US" w:eastAsia="ru-RU"/>
              </w:rPr>
            </w:pPr>
          </w:p>
        </w:tc>
        <w:tc>
          <w:tcPr>
            <w:tcW w:w="912" w:type="dxa"/>
            <w:tcBorders>
              <w:top w:val="nil"/>
              <w:left w:val="nil"/>
              <w:bottom w:val="nil"/>
              <w:right w:val="nil"/>
            </w:tcBorders>
            <w:shd w:val="clear" w:color="auto" w:fill="auto"/>
            <w:noWrap/>
            <w:vAlign w:val="bottom"/>
            <w:hideMark/>
          </w:tcPr>
          <w:p w14:paraId="76B833FC"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1965</w:t>
            </w:r>
          </w:p>
        </w:tc>
        <w:tc>
          <w:tcPr>
            <w:tcW w:w="912" w:type="dxa"/>
            <w:tcBorders>
              <w:top w:val="nil"/>
              <w:left w:val="nil"/>
              <w:bottom w:val="nil"/>
              <w:right w:val="nil"/>
            </w:tcBorders>
            <w:shd w:val="clear" w:color="auto" w:fill="auto"/>
            <w:noWrap/>
            <w:vAlign w:val="bottom"/>
            <w:hideMark/>
          </w:tcPr>
          <w:p w14:paraId="13AF45A8"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4610024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F34BCED"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1980</w:t>
            </w:r>
          </w:p>
        </w:tc>
        <w:tc>
          <w:tcPr>
            <w:tcW w:w="912" w:type="dxa"/>
            <w:tcBorders>
              <w:top w:val="nil"/>
              <w:left w:val="nil"/>
              <w:bottom w:val="nil"/>
              <w:right w:val="nil"/>
            </w:tcBorders>
            <w:shd w:val="clear" w:color="auto" w:fill="auto"/>
            <w:noWrap/>
            <w:vAlign w:val="bottom"/>
            <w:hideMark/>
          </w:tcPr>
          <w:p w14:paraId="5540CD74"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3216B0A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B831A5C"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r w:rsidRPr="003A59F0">
              <w:rPr>
                <w:rFonts w:ascii="Times New Roman" w:eastAsia="Times New Roman" w:hAnsi="Times New Roman" w:cs="Times New Roman"/>
                <w:color w:val="000000"/>
                <w:sz w:val="24"/>
                <w:szCs w:val="24"/>
                <w:lang w:eastAsia="ru-RU"/>
              </w:rPr>
              <w:t>2016</w:t>
            </w:r>
          </w:p>
        </w:tc>
        <w:tc>
          <w:tcPr>
            <w:tcW w:w="912" w:type="dxa"/>
            <w:tcBorders>
              <w:top w:val="nil"/>
              <w:left w:val="nil"/>
              <w:bottom w:val="nil"/>
              <w:right w:val="nil"/>
            </w:tcBorders>
            <w:shd w:val="clear" w:color="auto" w:fill="auto"/>
            <w:noWrap/>
            <w:vAlign w:val="bottom"/>
            <w:hideMark/>
          </w:tcPr>
          <w:p w14:paraId="5F96F74A" w14:textId="77777777" w:rsidR="003A59F0" w:rsidRPr="003A59F0" w:rsidRDefault="003A59F0" w:rsidP="003A59F0">
            <w:pPr>
              <w:spacing w:after="0" w:line="240" w:lineRule="auto"/>
              <w:jc w:val="right"/>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3D99B0B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32FE30A" w14:textId="77777777" w:rsidR="003A59F0" w:rsidRDefault="003A59F0" w:rsidP="003A59F0">
            <w:pPr>
              <w:spacing w:after="0" w:line="240" w:lineRule="auto"/>
              <w:rPr>
                <w:rFonts w:ascii="Times New Roman" w:eastAsia="Times New Roman" w:hAnsi="Times New Roman" w:cs="Times New Roman"/>
                <w:sz w:val="24"/>
                <w:szCs w:val="24"/>
                <w:lang w:eastAsia="ru-RU"/>
              </w:rPr>
            </w:pPr>
          </w:p>
          <w:p w14:paraId="4C1E4137" w14:textId="35F13FF8" w:rsidR="00C66199" w:rsidRPr="003A59F0" w:rsidRDefault="00C66199" w:rsidP="003A59F0">
            <w:pPr>
              <w:spacing w:after="0" w:line="240" w:lineRule="auto"/>
              <w:rPr>
                <w:rFonts w:ascii="Times New Roman" w:eastAsia="Times New Roman" w:hAnsi="Times New Roman" w:cs="Times New Roman"/>
                <w:sz w:val="24"/>
                <w:szCs w:val="24"/>
                <w:lang w:eastAsia="ru-RU"/>
              </w:rPr>
            </w:pPr>
          </w:p>
        </w:tc>
      </w:tr>
      <w:tr w:rsidR="003A59F0" w:rsidRPr="003A59F0" w14:paraId="7C18D628" w14:textId="77777777" w:rsidTr="00C66199">
        <w:trPr>
          <w:trHeight w:val="391"/>
        </w:trPr>
        <w:tc>
          <w:tcPr>
            <w:tcW w:w="1113" w:type="dxa"/>
            <w:tcBorders>
              <w:top w:val="nil"/>
              <w:left w:val="nil"/>
              <w:bottom w:val="nil"/>
              <w:right w:val="nil"/>
            </w:tcBorders>
            <w:shd w:val="clear" w:color="auto" w:fill="auto"/>
            <w:noWrap/>
            <w:vAlign w:val="bottom"/>
            <w:hideMark/>
          </w:tcPr>
          <w:p w14:paraId="2ACA1BCD" w14:textId="21E098C4"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3360" behindDoc="0" locked="0" layoutInCell="1" allowOverlap="1" wp14:anchorId="35448F38" wp14:editId="3AAD3540">
                  <wp:simplePos x="0" y="0"/>
                  <wp:positionH relativeFrom="column">
                    <wp:posOffset>0</wp:posOffset>
                  </wp:positionH>
                  <wp:positionV relativeFrom="paragraph">
                    <wp:posOffset>0</wp:posOffset>
                  </wp:positionV>
                  <wp:extent cx="1857375" cy="1514475"/>
                  <wp:effectExtent l="0" t="0" r="9525" b="9525"/>
                  <wp:wrapNone/>
                  <wp:docPr id="15" name="Диаграмма 15">
                    <a:extLst xmlns:a="http://schemas.openxmlformats.org/drawingml/2006/main">
                      <a:ext uri="{FF2B5EF4-FFF2-40B4-BE49-F238E27FC236}">
                        <a16:creationId xmlns:a16="http://schemas.microsoft.com/office/drawing/2014/main" id="{5BD803EC-B41E-42FC-923E-26A4A49F8F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4384" behindDoc="0" locked="0" layoutInCell="1" allowOverlap="1" wp14:anchorId="22371D67" wp14:editId="36156518">
                  <wp:simplePos x="0" y="0"/>
                  <wp:positionH relativeFrom="column">
                    <wp:posOffset>1847850</wp:posOffset>
                  </wp:positionH>
                  <wp:positionV relativeFrom="paragraph">
                    <wp:posOffset>0</wp:posOffset>
                  </wp:positionV>
                  <wp:extent cx="1819275" cy="1514475"/>
                  <wp:effectExtent l="0" t="0" r="9525" b="9525"/>
                  <wp:wrapNone/>
                  <wp:docPr id="14" name="Диаграмма 14">
                    <a:extLst xmlns:a="http://schemas.openxmlformats.org/drawingml/2006/main">
                      <a:ext uri="{FF2B5EF4-FFF2-40B4-BE49-F238E27FC236}">
                        <a16:creationId xmlns:a16="http://schemas.microsoft.com/office/drawing/2014/main" id="{F90BEF04-31EC-4DF8-9F5A-F2FC1EB8F1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673A0D">
              <w:rPr>
                <w:rFonts w:ascii="Times New Roman" w:eastAsia="Times New Roman" w:hAnsi="Times New Roman" w:cs="Times New Roman"/>
                <w:noProof/>
                <w:color w:val="000000"/>
                <w:sz w:val="24"/>
                <w:szCs w:val="24"/>
                <w:lang w:eastAsia="ru-RU"/>
              </w:rPr>
              <w:drawing>
                <wp:anchor distT="0" distB="0" distL="114300" distR="114300" simplePos="0" relativeHeight="251665408" behindDoc="0" locked="0" layoutInCell="1" allowOverlap="1" wp14:anchorId="376FCBE4" wp14:editId="680532CF">
                  <wp:simplePos x="0" y="0"/>
                  <wp:positionH relativeFrom="column">
                    <wp:posOffset>3638550</wp:posOffset>
                  </wp:positionH>
                  <wp:positionV relativeFrom="paragraph">
                    <wp:posOffset>9525</wp:posOffset>
                  </wp:positionV>
                  <wp:extent cx="2419350" cy="1504950"/>
                  <wp:effectExtent l="0" t="0" r="0" b="0"/>
                  <wp:wrapNone/>
                  <wp:docPr id="13" name="Диаграмма 13">
                    <a:extLst xmlns:a="http://schemas.openxmlformats.org/drawingml/2006/main">
                      <a:ext uri="{FF2B5EF4-FFF2-40B4-BE49-F238E27FC236}">
                        <a16:creationId xmlns:a16="http://schemas.microsoft.com/office/drawing/2014/main" id="{82F86105-2D76-4C3A-ACD3-0C3E30D0B1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897" w:type="dxa"/>
              <w:tblCellSpacing w:w="0" w:type="dxa"/>
              <w:tblCellMar>
                <w:left w:w="0" w:type="dxa"/>
                <w:right w:w="0" w:type="dxa"/>
              </w:tblCellMar>
              <w:tblLook w:val="04A0" w:firstRow="1" w:lastRow="0" w:firstColumn="1" w:lastColumn="0" w:noHBand="0" w:noVBand="1"/>
            </w:tblPr>
            <w:tblGrid>
              <w:gridCol w:w="897"/>
            </w:tblGrid>
            <w:tr w:rsidR="003A59F0" w:rsidRPr="003A59F0" w14:paraId="623D4E01" w14:textId="77777777" w:rsidTr="00C66199">
              <w:trPr>
                <w:trHeight w:val="391"/>
                <w:tblCellSpacing w:w="0" w:type="dxa"/>
              </w:trPr>
              <w:tc>
                <w:tcPr>
                  <w:tcW w:w="897" w:type="dxa"/>
                  <w:tcBorders>
                    <w:top w:val="nil"/>
                    <w:left w:val="nil"/>
                    <w:bottom w:val="nil"/>
                    <w:right w:val="nil"/>
                  </w:tcBorders>
                  <w:shd w:val="clear" w:color="auto" w:fill="auto"/>
                  <w:noWrap/>
                  <w:vAlign w:val="bottom"/>
                  <w:hideMark/>
                </w:tcPr>
                <w:p w14:paraId="26994D75" w14:textId="77777777"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p>
              </w:tc>
            </w:tr>
          </w:tbl>
          <w:p w14:paraId="64E667A9" w14:textId="77777777" w:rsidR="003A59F0" w:rsidRPr="003A59F0" w:rsidRDefault="003A59F0" w:rsidP="003A59F0">
            <w:pPr>
              <w:spacing w:after="0" w:line="240" w:lineRule="auto"/>
              <w:rPr>
                <w:rFonts w:ascii="Times New Roman" w:eastAsia="Times New Roman" w:hAnsi="Times New Roman" w:cs="Times New Roman"/>
                <w:color w:val="000000"/>
                <w:sz w:val="24"/>
                <w:szCs w:val="24"/>
                <w:lang w:eastAsia="ru-RU"/>
              </w:rPr>
            </w:pPr>
          </w:p>
        </w:tc>
        <w:tc>
          <w:tcPr>
            <w:tcW w:w="912" w:type="dxa"/>
            <w:tcBorders>
              <w:top w:val="nil"/>
              <w:left w:val="nil"/>
              <w:bottom w:val="nil"/>
              <w:right w:val="nil"/>
            </w:tcBorders>
            <w:shd w:val="clear" w:color="auto" w:fill="auto"/>
            <w:noWrap/>
            <w:vAlign w:val="bottom"/>
            <w:hideMark/>
          </w:tcPr>
          <w:p w14:paraId="76239C6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35003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F568A0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5F95FD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ADFAC2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1DB37C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1F83D7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B59D1A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FCD81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9DF06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6997F19E" w14:textId="77777777" w:rsidTr="00C66199">
        <w:trPr>
          <w:trHeight w:val="391"/>
        </w:trPr>
        <w:tc>
          <w:tcPr>
            <w:tcW w:w="1113" w:type="dxa"/>
            <w:tcBorders>
              <w:top w:val="nil"/>
              <w:left w:val="nil"/>
              <w:bottom w:val="nil"/>
              <w:right w:val="nil"/>
            </w:tcBorders>
            <w:shd w:val="clear" w:color="auto" w:fill="auto"/>
            <w:noWrap/>
            <w:vAlign w:val="bottom"/>
            <w:hideMark/>
          </w:tcPr>
          <w:p w14:paraId="5FDCC1A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2FF018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BE9B52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D6E28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1BDDED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C19B6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16C6D9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7B5691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58E51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FE8F8F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A4D54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453BFA59" w14:textId="77777777" w:rsidTr="00C66199">
        <w:trPr>
          <w:trHeight w:val="391"/>
        </w:trPr>
        <w:tc>
          <w:tcPr>
            <w:tcW w:w="1113" w:type="dxa"/>
            <w:tcBorders>
              <w:top w:val="nil"/>
              <w:left w:val="nil"/>
              <w:bottom w:val="nil"/>
              <w:right w:val="nil"/>
            </w:tcBorders>
            <w:shd w:val="clear" w:color="auto" w:fill="auto"/>
            <w:noWrap/>
            <w:vAlign w:val="bottom"/>
            <w:hideMark/>
          </w:tcPr>
          <w:p w14:paraId="051D23E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9F6FECD"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399ECE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322C32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7A6339E"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E171CE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7BD727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9DDD656"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E749288"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9265DD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FEA2937"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1F04C078" w14:textId="77777777" w:rsidTr="00C66199">
        <w:trPr>
          <w:trHeight w:val="391"/>
        </w:trPr>
        <w:tc>
          <w:tcPr>
            <w:tcW w:w="1113" w:type="dxa"/>
            <w:tcBorders>
              <w:top w:val="nil"/>
              <w:left w:val="nil"/>
              <w:bottom w:val="nil"/>
              <w:right w:val="nil"/>
            </w:tcBorders>
            <w:shd w:val="clear" w:color="auto" w:fill="auto"/>
            <w:noWrap/>
            <w:vAlign w:val="bottom"/>
            <w:hideMark/>
          </w:tcPr>
          <w:p w14:paraId="28FFFA3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7F2F715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A1CE50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18A710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1F7B6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DCCFD8B"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C27BE5F"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BBF2C89"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01C5E8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B6279CA"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BE72F0C"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r w:rsidR="003A59F0" w:rsidRPr="003A59F0" w14:paraId="541FE8AF" w14:textId="77777777" w:rsidTr="00C66199">
        <w:trPr>
          <w:trHeight w:val="391"/>
        </w:trPr>
        <w:tc>
          <w:tcPr>
            <w:tcW w:w="1113" w:type="dxa"/>
            <w:tcBorders>
              <w:top w:val="nil"/>
              <w:left w:val="nil"/>
              <w:bottom w:val="nil"/>
              <w:right w:val="nil"/>
            </w:tcBorders>
            <w:shd w:val="clear" w:color="auto" w:fill="auto"/>
            <w:noWrap/>
            <w:vAlign w:val="bottom"/>
            <w:hideMark/>
          </w:tcPr>
          <w:p w14:paraId="14587EA8"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21FFBC5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AE81543"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484A120"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4F263725"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81E5D36"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0FEAA122"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373457E4"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6E1C84B1"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71B6359"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c>
          <w:tcPr>
            <w:tcW w:w="912" w:type="dxa"/>
            <w:tcBorders>
              <w:top w:val="nil"/>
              <w:left w:val="nil"/>
              <w:bottom w:val="nil"/>
              <w:right w:val="nil"/>
            </w:tcBorders>
            <w:shd w:val="clear" w:color="auto" w:fill="auto"/>
            <w:noWrap/>
            <w:vAlign w:val="bottom"/>
            <w:hideMark/>
          </w:tcPr>
          <w:p w14:paraId="50BF40A5" w14:textId="77777777" w:rsidR="003A59F0" w:rsidRPr="003A59F0" w:rsidRDefault="003A59F0" w:rsidP="003A59F0">
            <w:pPr>
              <w:spacing w:after="0" w:line="240" w:lineRule="auto"/>
              <w:rPr>
                <w:rFonts w:ascii="Times New Roman" w:eastAsia="Times New Roman" w:hAnsi="Times New Roman" w:cs="Times New Roman"/>
                <w:sz w:val="24"/>
                <w:szCs w:val="24"/>
                <w:lang w:eastAsia="ru-RU"/>
              </w:rPr>
            </w:pPr>
          </w:p>
        </w:tc>
      </w:tr>
    </w:tbl>
    <w:p w14:paraId="24145743" w14:textId="5F25B738" w:rsidR="00F876F9" w:rsidRDefault="003A59F0" w:rsidP="00133EE6">
      <w:pPr>
        <w:pStyle w:val="NormalWeb"/>
        <w:jc w:val="both"/>
        <w:rPr>
          <w:b/>
          <w:bCs/>
          <w:i/>
          <w:iCs/>
          <w:sz w:val="20"/>
          <w:szCs w:val="20"/>
          <w:lang w:val="en-US"/>
        </w:rPr>
      </w:pPr>
      <w:r w:rsidRPr="00673A0D">
        <w:rPr>
          <w:b/>
          <w:bCs/>
          <w:i/>
          <w:iCs/>
          <w:sz w:val="20"/>
          <w:szCs w:val="20"/>
          <w:lang w:val="en-US"/>
        </w:rPr>
        <w:t>Changes in production shares of four major global vegetable oils (USDA 2017)</w:t>
      </w:r>
    </w:p>
    <w:p w14:paraId="15A480D1" w14:textId="6A0A0FCA" w:rsidR="00863E6A" w:rsidRPr="00C833F8" w:rsidRDefault="00863E6A" w:rsidP="00863E6A">
      <w:pPr>
        <w:pStyle w:val="NormalWeb"/>
        <w:bidi/>
        <w:jc w:val="both"/>
        <w:rPr>
          <w:b/>
          <w:bCs/>
          <w:i/>
          <w:iCs/>
          <w:sz w:val="20"/>
          <w:szCs w:val="20"/>
          <w:lang w:val="en-US"/>
        </w:rPr>
      </w:pPr>
      <w:r w:rsidRPr="00C833F8">
        <w:rPr>
          <w:rFonts w:ascii="Arial" w:hAnsi="Arial" w:cs="Arial"/>
          <w:b/>
          <w:bCs/>
          <w:i/>
          <w:iCs/>
          <w:rtl/>
          <w:lang w:bidi="ar"/>
        </w:rPr>
        <w:t xml:space="preserve">التغيرات في حصص الإنتاج من أربعة زيوت نباتية </w:t>
      </w:r>
      <w:r w:rsidR="00EC0A3A" w:rsidRPr="00C833F8">
        <w:rPr>
          <w:rFonts w:ascii="Arial" w:hAnsi="Arial" w:cs="Arial"/>
          <w:b/>
          <w:bCs/>
          <w:i/>
          <w:iCs/>
          <w:rtl/>
          <w:lang w:bidi="ar"/>
        </w:rPr>
        <w:t xml:space="preserve">رئيسية </w:t>
      </w:r>
      <w:r w:rsidRPr="00C833F8">
        <w:rPr>
          <w:rFonts w:ascii="Arial" w:hAnsi="Arial" w:cs="Arial"/>
          <w:b/>
          <w:bCs/>
          <w:i/>
          <w:iCs/>
          <w:rtl/>
          <w:lang w:bidi="ar"/>
        </w:rPr>
        <w:t>عالمي</w:t>
      </w:r>
      <w:r w:rsidR="00EC0A3A" w:rsidRPr="00C833F8">
        <w:rPr>
          <w:rFonts w:ascii="Arial" w:hAnsi="Arial" w:cs="Arial" w:hint="cs"/>
          <w:b/>
          <w:bCs/>
          <w:i/>
          <w:iCs/>
          <w:rtl/>
          <w:lang w:bidi="ar"/>
        </w:rPr>
        <w:t>ا</w:t>
      </w:r>
      <w:r w:rsidRPr="00C833F8">
        <w:rPr>
          <w:rFonts w:ascii="Arial" w:hAnsi="Arial" w:cs="Arial"/>
          <w:b/>
          <w:bCs/>
          <w:i/>
          <w:iCs/>
          <w:rtl/>
          <w:lang w:bidi="ar"/>
        </w:rPr>
        <w:t xml:space="preserve"> (USDA 2017)</w:t>
      </w:r>
    </w:p>
    <w:p w14:paraId="44F2CF37" w14:textId="77777777" w:rsidR="00C66199" w:rsidRPr="00673A0D" w:rsidRDefault="00C66199" w:rsidP="00133EE6">
      <w:pPr>
        <w:pStyle w:val="NormalWeb"/>
        <w:jc w:val="both"/>
        <w:rPr>
          <w:b/>
          <w:bCs/>
          <w:i/>
          <w:iCs/>
          <w:sz w:val="20"/>
          <w:szCs w:val="20"/>
          <w:lang w:val="en-US"/>
        </w:rPr>
      </w:pPr>
    </w:p>
    <w:p w14:paraId="72A33C0C" w14:textId="6B1E3248" w:rsidR="00863E6A" w:rsidRPr="005A1836" w:rsidRDefault="00AC5899"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وكما يبين الجدول، ارتفعت حصة زيت النخيل من 22 في المائة في عام 1965 إلى 40 في المائة في عام 2016، في حين انخفضت حصة زيت فول الصويا من 59 في المائة إلى 33 في المائة في الفترة نفسها. </w:t>
      </w:r>
      <w:r w:rsidRPr="005A1836">
        <w:rPr>
          <w:rFonts w:asciiTheme="minorHAnsi" w:eastAsiaTheme="minorHAnsi" w:hAnsiTheme="minorHAnsi" w:cstheme="minorBidi" w:hint="cs"/>
          <w:sz w:val="32"/>
          <w:szCs w:val="32"/>
          <w:rtl/>
          <w:lang w:eastAsia="en-US" w:bidi="ar"/>
        </w:rPr>
        <w:t>وبالتالي</w:t>
      </w:r>
      <w:r w:rsidRPr="005A1836">
        <w:rPr>
          <w:rFonts w:asciiTheme="minorHAnsi" w:eastAsiaTheme="minorHAnsi" w:hAnsiTheme="minorHAnsi" w:cstheme="minorBidi"/>
          <w:sz w:val="32"/>
          <w:szCs w:val="32"/>
          <w:rtl/>
          <w:lang w:eastAsia="en-US" w:bidi="ar"/>
        </w:rPr>
        <w:t xml:space="preserve">، فمن الواضح تماما أن حصة زيت النخيل في إنتاج الزيوت النباتية في العالم لا </w:t>
      </w:r>
      <w:r w:rsidRPr="005A1836">
        <w:rPr>
          <w:rFonts w:asciiTheme="minorHAnsi" w:eastAsiaTheme="minorHAnsi" w:hAnsiTheme="minorHAnsi" w:cstheme="minorBidi" w:hint="cs"/>
          <w:sz w:val="32"/>
          <w:szCs w:val="32"/>
          <w:rtl/>
          <w:lang w:eastAsia="en-US" w:bidi="ar"/>
        </w:rPr>
        <w:t>ت</w:t>
      </w:r>
      <w:r w:rsidRPr="005A1836">
        <w:rPr>
          <w:rFonts w:asciiTheme="minorHAnsi" w:eastAsiaTheme="minorHAnsi" w:hAnsiTheme="minorHAnsi" w:cstheme="minorBidi"/>
          <w:sz w:val="32"/>
          <w:szCs w:val="32"/>
          <w:rtl/>
          <w:lang w:eastAsia="en-US" w:bidi="ar"/>
        </w:rPr>
        <w:t xml:space="preserve">رجع إلى الحجم الكبير من مزارع زيت النخيل ولكن بسبب ارتفاع إنتاجية زيت </w:t>
      </w:r>
      <w:r w:rsidRPr="005A1836">
        <w:rPr>
          <w:rFonts w:asciiTheme="minorHAnsi" w:eastAsiaTheme="minorHAnsi" w:hAnsiTheme="minorHAnsi" w:cstheme="minorBidi" w:hint="cs"/>
          <w:sz w:val="32"/>
          <w:szCs w:val="32"/>
          <w:rtl/>
          <w:lang w:eastAsia="en-US" w:bidi="ar"/>
        </w:rPr>
        <w:t>النخيل</w:t>
      </w:r>
      <w:r w:rsidRPr="005A1836">
        <w:rPr>
          <w:rFonts w:asciiTheme="minorHAnsi" w:eastAsiaTheme="minorHAnsi" w:hAnsiTheme="minorHAnsi" w:cstheme="minorBidi"/>
          <w:sz w:val="32"/>
          <w:szCs w:val="32"/>
          <w:rtl/>
          <w:lang w:eastAsia="en-US" w:bidi="ar"/>
        </w:rPr>
        <w:t xml:space="preserve"> من غيرها من النباتات المنتجة للزيت النباتي.</w:t>
      </w:r>
    </w:p>
    <w:p w14:paraId="731A4B23" w14:textId="6C3E4F06" w:rsidR="00863E6A" w:rsidRDefault="00EC0A3A" w:rsidP="002C1069">
      <w:pPr>
        <w:pStyle w:val="NormalWeb"/>
        <w:bidi/>
        <w:rPr>
          <w:lang w:val="en-US"/>
        </w:rPr>
      </w:pPr>
      <w:r w:rsidRPr="005A1836">
        <w:rPr>
          <w:rFonts w:asciiTheme="minorHAnsi" w:eastAsiaTheme="minorHAnsi" w:hAnsiTheme="minorHAnsi" w:cstheme="minorBidi" w:hint="cs"/>
          <w:b/>
          <w:bCs/>
          <w:sz w:val="32"/>
          <w:szCs w:val="32"/>
          <w:rtl/>
          <w:lang w:eastAsia="en-US" w:bidi="ar"/>
        </w:rPr>
        <w:t>ال</w:t>
      </w:r>
      <w:r w:rsidR="00863E6A" w:rsidRPr="005A1836">
        <w:rPr>
          <w:rFonts w:asciiTheme="minorHAnsi" w:eastAsiaTheme="minorHAnsi" w:hAnsiTheme="minorHAnsi" w:cstheme="minorBidi"/>
          <w:b/>
          <w:bCs/>
          <w:sz w:val="32"/>
          <w:szCs w:val="32"/>
          <w:rtl/>
          <w:lang w:eastAsia="en-US" w:bidi="ar"/>
        </w:rPr>
        <w:t>مزايا</w:t>
      </w:r>
    </w:p>
    <w:p w14:paraId="52C16245" w14:textId="354CF7C9" w:rsidR="00863E6A" w:rsidRPr="005A1836" w:rsidRDefault="00863E6A"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وفقا لدراسات مختلفة, </w:t>
      </w:r>
      <w:r w:rsidR="00DE4EDA" w:rsidRPr="005A1836">
        <w:rPr>
          <w:rFonts w:asciiTheme="minorHAnsi" w:eastAsiaTheme="minorHAnsi" w:hAnsiTheme="minorHAnsi" w:cstheme="minorBidi" w:hint="cs"/>
          <w:sz w:val="32"/>
          <w:szCs w:val="32"/>
          <w:rtl/>
          <w:lang w:eastAsia="en-US" w:bidi="ar"/>
        </w:rPr>
        <w:t xml:space="preserve">فإن </w:t>
      </w:r>
      <w:r w:rsidRPr="005A1836">
        <w:rPr>
          <w:rFonts w:asciiTheme="minorHAnsi" w:eastAsiaTheme="minorHAnsi" w:hAnsiTheme="minorHAnsi" w:cstheme="minorBidi"/>
          <w:sz w:val="32"/>
          <w:szCs w:val="32"/>
          <w:rtl/>
          <w:lang w:eastAsia="en-US" w:bidi="ar"/>
        </w:rPr>
        <w:t xml:space="preserve">استبدال وقود الديزل </w:t>
      </w:r>
      <w:r w:rsidR="00DE4EDA" w:rsidRPr="005A1836">
        <w:rPr>
          <w:rFonts w:asciiTheme="minorHAnsi" w:eastAsiaTheme="minorHAnsi" w:hAnsiTheme="minorHAnsi" w:cstheme="minorBidi" w:hint="cs"/>
          <w:sz w:val="32"/>
          <w:szCs w:val="32"/>
          <w:rtl/>
          <w:lang w:eastAsia="en-US" w:bidi="ar"/>
        </w:rPr>
        <w:t>ب</w:t>
      </w:r>
      <w:r w:rsidRPr="005A1836">
        <w:rPr>
          <w:rFonts w:asciiTheme="minorHAnsi" w:eastAsiaTheme="minorHAnsi" w:hAnsiTheme="minorHAnsi" w:cstheme="minorBidi"/>
          <w:sz w:val="32"/>
          <w:szCs w:val="32"/>
          <w:rtl/>
          <w:lang w:eastAsia="en-US" w:bidi="ar"/>
        </w:rPr>
        <w:t xml:space="preserve">وقود الديزل الحيوي </w:t>
      </w:r>
      <w:r w:rsidR="00DE4EDA" w:rsidRPr="005A1836">
        <w:rPr>
          <w:rFonts w:asciiTheme="minorHAnsi" w:eastAsiaTheme="minorHAnsi" w:hAnsiTheme="minorHAnsi" w:cstheme="minorBidi" w:hint="cs"/>
          <w:sz w:val="32"/>
          <w:szCs w:val="32"/>
          <w:rtl/>
          <w:lang w:eastAsia="en-US" w:bidi="ar"/>
        </w:rPr>
        <w:t xml:space="preserve">المنتج من </w:t>
      </w:r>
      <w:r w:rsidRPr="005A1836">
        <w:rPr>
          <w:rFonts w:asciiTheme="minorHAnsi" w:eastAsiaTheme="minorHAnsi" w:hAnsiTheme="minorHAnsi" w:cstheme="minorBidi"/>
          <w:sz w:val="32"/>
          <w:szCs w:val="32"/>
          <w:rtl/>
          <w:lang w:eastAsia="en-US" w:bidi="ar"/>
        </w:rPr>
        <w:t>النخيل سوف يقلل من انبعاثات الاحتباس الحراري من محركات الديزل بنسبة 50-60 في المئة.</w:t>
      </w:r>
    </w:p>
    <w:p w14:paraId="3D97D9CD" w14:textId="29F33A48" w:rsidR="00863E6A" w:rsidRPr="005A1836" w:rsidRDefault="00DE4EDA" w:rsidP="00C833F8">
      <w:pPr>
        <w:pStyle w:val="NormalWeb"/>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hint="cs"/>
          <w:sz w:val="32"/>
          <w:szCs w:val="32"/>
          <w:rtl/>
          <w:lang w:eastAsia="en-US" w:bidi="ar"/>
        </w:rPr>
        <w:t xml:space="preserve">يتاح </w:t>
      </w:r>
      <w:r w:rsidR="00863E6A" w:rsidRPr="005A1836">
        <w:rPr>
          <w:rFonts w:asciiTheme="minorHAnsi" w:eastAsiaTheme="minorHAnsi" w:hAnsiTheme="minorHAnsi" w:cstheme="minorBidi"/>
          <w:sz w:val="32"/>
          <w:szCs w:val="32"/>
          <w:rtl/>
          <w:lang w:eastAsia="en-US" w:bidi="ar"/>
        </w:rPr>
        <w:t>زيت النخيل كزيت نباتي في حجم كاف على الصعيد العالمي بأسعار تنافسية. وهذا هو السبب  في أنها تستهلك تقريبا في كل بلد في العالم. نظرا لتوافره، ظهرت حملات سلبية ضد زيت النخيل وخاصة من حيث خصائصه الغذائية.</w:t>
      </w:r>
    </w:p>
    <w:p w14:paraId="09C41FD5" w14:textId="77777777" w:rsidR="001629DA" w:rsidRPr="005A1836" w:rsidRDefault="001629DA"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lastRenderedPageBreak/>
        <w:t xml:space="preserve">وفقا لخبراء التغذية، يحتوي زيت النخيل على نسبة </w:t>
      </w:r>
      <w:r w:rsidRPr="005A1836">
        <w:rPr>
          <w:rFonts w:asciiTheme="minorHAnsi" w:eastAsiaTheme="minorHAnsi" w:hAnsiTheme="minorHAnsi" w:cstheme="minorBidi" w:hint="cs"/>
          <w:sz w:val="32"/>
          <w:szCs w:val="32"/>
          <w:rtl/>
          <w:lang w:eastAsia="en-US" w:bidi="ar"/>
        </w:rPr>
        <w:t>ثابتة</w:t>
      </w:r>
      <w:r w:rsidRPr="005A1836">
        <w:rPr>
          <w:rFonts w:asciiTheme="minorHAnsi" w:eastAsiaTheme="minorHAnsi" w:hAnsiTheme="minorHAnsi" w:cstheme="minorBidi"/>
          <w:sz w:val="32"/>
          <w:szCs w:val="32"/>
          <w:rtl/>
          <w:lang w:eastAsia="en-US" w:bidi="ar"/>
        </w:rPr>
        <w:t xml:space="preserve"> من الأحماض الدهنية المشبعة والأحماض الدهنية غير المشبعة. تكوين الأحماض الدهنية من زيت النخيل هو الأحماض الدهنية المشبعة التي تتكون من 44 في المئة حمض البالمتيك, 5 في المئة الأحماض الدهنية stearic والأحماض الدهنية الأحادية غير المشبعة (MUFA) التي تتكون من 10 في المئة </w:t>
      </w:r>
      <w:r w:rsidRPr="005A1836">
        <w:rPr>
          <w:rFonts w:asciiTheme="minorHAnsi" w:eastAsiaTheme="minorHAnsi" w:hAnsiTheme="minorHAnsi" w:cstheme="minorBidi" w:hint="cs"/>
          <w:sz w:val="32"/>
          <w:szCs w:val="32"/>
          <w:rtl/>
          <w:lang w:eastAsia="en-US" w:bidi="ar"/>
        </w:rPr>
        <w:t>حمض اللينوليك</w:t>
      </w:r>
      <w:r w:rsidRPr="005A1836">
        <w:rPr>
          <w:rFonts w:asciiTheme="minorHAnsi" w:eastAsiaTheme="minorHAnsi" w:hAnsiTheme="minorHAnsi" w:cstheme="minorBidi"/>
          <w:sz w:val="32"/>
          <w:szCs w:val="32"/>
          <w:rtl/>
          <w:lang w:eastAsia="en-US" w:bidi="ar"/>
        </w:rPr>
        <w:t xml:space="preserve"> الدهني و 0.4 في المئة </w:t>
      </w:r>
      <w:r w:rsidRPr="005A1836">
        <w:rPr>
          <w:rFonts w:asciiTheme="minorHAnsi" w:eastAsiaTheme="minorHAnsi" w:hAnsiTheme="minorHAnsi" w:cstheme="minorBidi" w:hint="cs"/>
          <w:sz w:val="32"/>
          <w:szCs w:val="32"/>
          <w:rtl/>
          <w:lang w:eastAsia="en-US" w:bidi="ar"/>
        </w:rPr>
        <w:t>حمض اللينوليك</w:t>
      </w:r>
      <w:r w:rsidRPr="005A1836">
        <w:rPr>
          <w:rFonts w:asciiTheme="minorHAnsi" w:eastAsiaTheme="minorHAnsi" w:hAnsiTheme="minorHAnsi" w:cstheme="minorBidi"/>
          <w:sz w:val="32"/>
          <w:szCs w:val="32"/>
          <w:rtl/>
          <w:lang w:eastAsia="en-US" w:bidi="ar"/>
        </w:rPr>
        <w:t xml:space="preserve"> الدهني</w:t>
      </w:r>
      <w:r w:rsidRPr="005A1836">
        <w:rPr>
          <w:rFonts w:asciiTheme="minorHAnsi" w:eastAsiaTheme="minorHAnsi" w:hAnsiTheme="minorHAnsi" w:cstheme="minorBidi" w:hint="cs"/>
          <w:sz w:val="32"/>
          <w:szCs w:val="32"/>
          <w:rtl/>
          <w:lang w:eastAsia="en-US" w:bidi="ar"/>
        </w:rPr>
        <w:t xml:space="preserve"> ألفا</w:t>
      </w:r>
      <w:r w:rsidRPr="005A1836">
        <w:rPr>
          <w:rFonts w:asciiTheme="minorHAnsi" w:eastAsiaTheme="minorHAnsi" w:hAnsiTheme="minorHAnsi" w:cstheme="minorBidi"/>
          <w:sz w:val="32"/>
          <w:szCs w:val="32"/>
          <w:rtl/>
          <w:lang w:eastAsia="en-US" w:bidi="ar"/>
        </w:rPr>
        <w:t>. و</w:t>
      </w:r>
      <w:r w:rsidRPr="005A1836">
        <w:rPr>
          <w:rFonts w:asciiTheme="minorHAnsi" w:eastAsiaTheme="minorHAnsi" w:hAnsiTheme="minorHAnsi" w:cstheme="minorBidi" w:hint="cs"/>
          <w:sz w:val="32"/>
          <w:szCs w:val="32"/>
          <w:rtl/>
          <w:lang w:eastAsia="en-US" w:bidi="ar"/>
        </w:rPr>
        <w:t>ل</w:t>
      </w:r>
      <w:r w:rsidRPr="005A1836">
        <w:rPr>
          <w:rFonts w:asciiTheme="minorHAnsi" w:eastAsiaTheme="minorHAnsi" w:hAnsiTheme="minorHAnsi" w:cstheme="minorBidi"/>
          <w:sz w:val="32"/>
          <w:szCs w:val="32"/>
          <w:rtl/>
          <w:lang w:eastAsia="en-US" w:bidi="ar"/>
        </w:rPr>
        <w:t xml:space="preserve">زيت النخيل ككل له </w:t>
      </w:r>
      <w:r w:rsidRPr="005A1836">
        <w:rPr>
          <w:rFonts w:asciiTheme="minorHAnsi" w:eastAsiaTheme="minorHAnsi" w:hAnsiTheme="minorHAnsi" w:cstheme="minorBidi" w:hint="cs"/>
          <w:sz w:val="32"/>
          <w:szCs w:val="32"/>
          <w:rtl/>
          <w:lang w:eastAsia="en-US" w:bidi="ar"/>
        </w:rPr>
        <w:t>ال</w:t>
      </w:r>
      <w:r w:rsidRPr="005A1836">
        <w:rPr>
          <w:rFonts w:asciiTheme="minorHAnsi" w:eastAsiaTheme="minorHAnsi" w:hAnsiTheme="minorHAnsi" w:cstheme="minorBidi"/>
          <w:sz w:val="32"/>
          <w:szCs w:val="32"/>
          <w:rtl/>
          <w:lang w:eastAsia="en-US" w:bidi="ar"/>
        </w:rPr>
        <w:t xml:space="preserve">خصائص </w:t>
      </w:r>
      <w:r w:rsidRPr="005A1836">
        <w:rPr>
          <w:rFonts w:asciiTheme="minorHAnsi" w:eastAsiaTheme="minorHAnsi" w:hAnsiTheme="minorHAnsi" w:cstheme="minorBidi" w:hint="cs"/>
          <w:sz w:val="32"/>
          <w:szCs w:val="32"/>
          <w:rtl/>
          <w:lang w:eastAsia="en-US" w:bidi="ar"/>
        </w:rPr>
        <w:t>ال</w:t>
      </w:r>
      <w:r w:rsidRPr="005A1836">
        <w:rPr>
          <w:rFonts w:asciiTheme="minorHAnsi" w:eastAsiaTheme="minorHAnsi" w:hAnsiTheme="minorHAnsi" w:cstheme="minorBidi"/>
          <w:sz w:val="32"/>
          <w:szCs w:val="32"/>
          <w:rtl/>
          <w:lang w:eastAsia="en-US" w:bidi="ar"/>
        </w:rPr>
        <w:t xml:space="preserve">سلوكية  للزيوت الأحادية غير المشبعة (وزارة الزراعة في الولايات المتحدة، 1979؛ </w:t>
      </w:r>
      <w:r w:rsidRPr="005A1836">
        <w:rPr>
          <w:rFonts w:asciiTheme="minorHAnsi" w:eastAsiaTheme="minorHAnsi" w:hAnsiTheme="minorHAnsi" w:cstheme="minorBidi"/>
          <w:sz w:val="32"/>
          <w:szCs w:val="32"/>
          <w:lang w:eastAsia="en-US" w:bidi="ar"/>
        </w:rPr>
        <w:t xml:space="preserve">Cottrell </w:t>
      </w:r>
      <w:r w:rsidRPr="005A1836">
        <w:rPr>
          <w:rFonts w:asciiTheme="minorHAnsi" w:eastAsiaTheme="minorHAnsi" w:hAnsiTheme="minorHAnsi" w:cstheme="minorBidi"/>
          <w:sz w:val="32"/>
          <w:szCs w:val="32"/>
          <w:rtl/>
          <w:lang w:eastAsia="en-US" w:bidi="ar"/>
        </w:rPr>
        <w:t>، 1991</w:t>
      </w:r>
      <w:r w:rsidRPr="005A1836">
        <w:rPr>
          <w:rFonts w:asciiTheme="minorHAnsi" w:eastAsiaTheme="minorHAnsi" w:hAnsiTheme="minorHAnsi" w:cstheme="minorBidi"/>
          <w:sz w:val="32"/>
          <w:szCs w:val="32"/>
          <w:lang w:eastAsia="en-US" w:bidi="ar"/>
        </w:rPr>
        <w:t xml:space="preserve"> </w:t>
      </w:r>
      <w:r w:rsidRPr="005A1836">
        <w:rPr>
          <w:rFonts w:asciiTheme="minorHAnsi" w:eastAsiaTheme="minorHAnsi" w:hAnsiTheme="minorHAnsi" w:cstheme="minorBidi"/>
          <w:sz w:val="32"/>
          <w:szCs w:val="32"/>
          <w:rtl/>
          <w:lang w:eastAsia="en-US" w:bidi="ar"/>
        </w:rPr>
        <w:t>؛</w:t>
      </w:r>
      <w:r w:rsidRPr="005A1836">
        <w:rPr>
          <w:rFonts w:asciiTheme="minorHAnsi" w:eastAsiaTheme="minorHAnsi" w:hAnsiTheme="minorHAnsi" w:cstheme="minorBidi"/>
          <w:sz w:val="32"/>
          <w:szCs w:val="32"/>
          <w:lang w:eastAsia="en-US" w:bidi="ar"/>
        </w:rPr>
        <w:t xml:space="preserve"> Small </w:t>
      </w:r>
      <w:r w:rsidRPr="005A1836">
        <w:rPr>
          <w:rFonts w:asciiTheme="minorHAnsi" w:eastAsiaTheme="minorHAnsi" w:hAnsiTheme="minorHAnsi" w:cstheme="minorBidi"/>
          <w:sz w:val="32"/>
          <w:szCs w:val="32"/>
          <w:rtl/>
          <w:lang w:eastAsia="en-US" w:bidi="ar"/>
        </w:rPr>
        <w:t>، 1991</w:t>
      </w:r>
      <w:r w:rsidRPr="005A1836">
        <w:rPr>
          <w:rFonts w:asciiTheme="minorHAnsi" w:eastAsiaTheme="minorHAnsi" w:hAnsiTheme="minorHAnsi" w:cstheme="minorBidi"/>
          <w:sz w:val="32"/>
          <w:szCs w:val="32"/>
          <w:lang w:eastAsia="en-US" w:bidi="ar"/>
        </w:rPr>
        <w:t xml:space="preserve"> </w:t>
      </w:r>
      <w:r w:rsidRPr="005A1836">
        <w:rPr>
          <w:rFonts w:asciiTheme="minorHAnsi" w:eastAsiaTheme="minorHAnsi" w:hAnsiTheme="minorHAnsi" w:cstheme="minorBidi"/>
          <w:sz w:val="32"/>
          <w:szCs w:val="32"/>
          <w:rtl/>
          <w:lang w:eastAsia="en-US" w:bidi="ar"/>
        </w:rPr>
        <w:t>؛</w:t>
      </w:r>
      <w:r w:rsidRPr="005A1836">
        <w:rPr>
          <w:rFonts w:asciiTheme="minorHAnsi" w:eastAsiaTheme="minorHAnsi" w:hAnsiTheme="minorHAnsi" w:cstheme="minorBidi"/>
          <w:sz w:val="32"/>
          <w:szCs w:val="32"/>
          <w:lang w:eastAsia="en-US" w:bidi="ar"/>
        </w:rPr>
        <w:t xml:space="preserve"> Choudburyet al. </w:t>
      </w:r>
      <w:r w:rsidRPr="005A1836">
        <w:rPr>
          <w:rFonts w:asciiTheme="minorHAnsi" w:eastAsiaTheme="minorHAnsi" w:hAnsiTheme="minorHAnsi" w:cstheme="minorBidi"/>
          <w:sz w:val="32"/>
          <w:szCs w:val="32"/>
          <w:rtl/>
          <w:lang w:eastAsia="en-US" w:bidi="ar"/>
        </w:rPr>
        <w:t>، 1995</w:t>
      </w:r>
      <w:r w:rsidRPr="005A1836">
        <w:rPr>
          <w:rFonts w:asciiTheme="minorHAnsi" w:eastAsiaTheme="minorHAnsi" w:hAnsiTheme="minorHAnsi" w:cstheme="minorBidi"/>
          <w:sz w:val="32"/>
          <w:szCs w:val="32"/>
          <w:lang w:eastAsia="en-US" w:bidi="ar"/>
        </w:rPr>
        <w:t xml:space="preserve"> </w:t>
      </w:r>
      <w:r w:rsidRPr="005A1836">
        <w:rPr>
          <w:rFonts w:asciiTheme="minorHAnsi" w:eastAsiaTheme="minorHAnsi" w:hAnsiTheme="minorHAnsi" w:cstheme="minorBidi"/>
          <w:sz w:val="32"/>
          <w:szCs w:val="32"/>
          <w:rtl/>
          <w:lang w:eastAsia="en-US" w:bidi="ar"/>
        </w:rPr>
        <w:t>؛</w:t>
      </w:r>
      <w:r w:rsidRPr="005A1836">
        <w:rPr>
          <w:rFonts w:asciiTheme="minorHAnsi" w:eastAsiaTheme="minorHAnsi" w:hAnsiTheme="minorHAnsi" w:cstheme="minorBidi"/>
          <w:sz w:val="32"/>
          <w:szCs w:val="32"/>
          <w:lang w:eastAsia="en-US" w:bidi="ar"/>
        </w:rPr>
        <w:t xml:space="preserve"> Kritchevsky </w:t>
      </w:r>
      <w:r w:rsidRPr="005A1836">
        <w:rPr>
          <w:rFonts w:asciiTheme="minorHAnsi" w:eastAsiaTheme="minorHAnsi" w:hAnsiTheme="minorHAnsi" w:cstheme="minorBidi"/>
          <w:sz w:val="32"/>
          <w:szCs w:val="32"/>
          <w:rtl/>
          <w:lang w:eastAsia="en-US" w:bidi="ar"/>
        </w:rPr>
        <w:t>وآخرون ، 2000 ؛</w:t>
      </w:r>
      <w:r w:rsidRPr="005A1836">
        <w:rPr>
          <w:rFonts w:asciiTheme="minorHAnsi" w:eastAsiaTheme="minorHAnsi" w:hAnsiTheme="minorHAnsi" w:cstheme="minorBidi"/>
          <w:sz w:val="32"/>
          <w:szCs w:val="32"/>
          <w:lang w:eastAsia="en-US" w:bidi="ar"/>
        </w:rPr>
        <w:t xml:space="preserve"> Ong and Goh </w:t>
      </w:r>
      <w:r w:rsidRPr="005A1836">
        <w:rPr>
          <w:rFonts w:asciiTheme="minorHAnsi" w:eastAsiaTheme="minorHAnsi" w:hAnsiTheme="minorHAnsi" w:cstheme="minorBidi"/>
          <w:sz w:val="32"/>
          <w:szCs w:val="32"/>
          <w:rtl/>
          <w:lang w:eastAsia="en-US" w:bidi="ar"/>
        </w:rPr>
        <w:t>، 2002</w:t>
      </w:r>
      <w:r w:rsidRPr="005A1836">
        <w:rPr>
          <w:rFonts w:asciiTheme="minorHAnsi" w:eastAsiaTheme="minorHAnsi" w:hAnsiTheme="minorHAnsi" w:cstheme="minorBidi"/>
          <w:sz w:val="32"/>
          <w:szCs w:val="32"/>
          <w:lang w:eastAsia="en-US" w:bidi="ar"/>
        </w:rPr>
        <w:t xml:space="preserve"> </w:t>
      </w:r>
      <w:r w:rsidRPr="005A1836">
        <w:rPr>
          <w:rFonts w:asciiTheme="minorHAnsi" w:eastAsiaTheme="minorHAnsi" w:hAnsiTheme="minorHAnsi" w:cstheme="minorBidi"/>
          <w:sz w:val="32"/>
          <w:szCs w:val="32"/>
          <w:rtl/>
          <w:lang w:eastAsia="en-US" w:bidi="ar"/>
        </w:rPr>
        <w:t xml:space="preserve">؛ منظمة الأغذية والزراعة ، 2010 ؛ </w:t>
      </w:r>
      <w:r w:rsidRPr="005A1836">
        <w:rPr>
          <w:rFonts w:asciiTheme="minorHAnsi" w:eastAsiaTheme="minorHAnsi" w:hAnsiTheme="minorHAnsi" w:cstheme="minorBidi"/>
          <w:sz w:val="32"/>
          <w:szCs w:val="32"/>
          <w:lang w:eastAsia="en-US" w:bidi="ar"/>
        </w:rPr>
        <w:t>Hariyadi</w:t>
      </w:r>
      <w:r w:rsidRPr="005A1836">
        <w:rPr>
          <w:rFonts w:asciiTheme="minorHAnsi" w:eastAsiaTheme="minorHAnsi" w:hAnsiTheme="minorHAnsi" w:cstheme="minorBidi"/>
          <w:sz w:val="32"/>
          <w:szCs w:val="32"/>
          <w:rtl/>
          <w:lang w:eastAsia="en-US" w:bidi="ar"/>
        </w:rPr>
        <w:t xml:space="preserve"> ، 2010 ؛</w:t>
      </w:r>
      <w:r w:rsidRPr="005A1836">
        <w:rPr>
          <w:rFonts w:asciiTheme="minorHAnsi" w:eastAsiaTheme="minorHAnsi" w:hAnsiTheme="minorHAnsi" w:cstheme="minorBidi"/>
          <w:sz w:val="32"/>
          <w:szCs w:val="32"/>
          <w:lang w:eastAsia="en-US" w:bidi="ar"/>
        </w:rPr>
        <w:t xml:space="preserve"> GiriwonodanAndarwulan </w:t>
      </w:r>
      <w:r w:rsidRPr="005A1836">
        <w:rPr>
          <w:rFonts w:asciiTheme="minorHAnsi" w:eastAsiaTheme="minorHAnsi" w:hAnsiTheme="minorHAnsi" w:cstheme="minorBidi"/>
          <w:sz w:val="32"/>
          <w:szCs w:val="32"/>
          <w:rtl/>
          <w:lang w:eastAsia="en-US" w:bidi="ar"/>
        </w:rPr>
        <w:t>، 2016</w:t>
      </w:r>
      <w:r w:rsidRPr="005A1836">
        <w:rPr>
          <w:rFonts w:asciiTheme="minorHAnsi" w:eastAsiaTheme="minorHAnsi" w:hAnsiTheme="minorHAnsi" w:cstheme="minorBidi" w:hint="cs"/>
          <w:sz w:val="32"/>
          <w:szCs w:val="32"/>
          <w:rtl/>
          <w:lang w:eastAsia="en-US" w:bidi="ar"/>
        </w:rPr>
        <w:t xml:space="preserve">). </w:t>
      </w:r>
    </w:p>
    <w:p w14:paraId="69CB5246" w14:textId="77777777" w:rsidR="00863E6A" w:rsidRPr="005A1836" w:rsidRDefault="00863E6A" w:rsidP="00C833F8">
      <w:pPr>
        <w:pStyle w:val="NormalWeb"/>
        <w:bidi/>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تكوين الأحماض الدهنية في زيت النخيل</w:t>
      </w:r>
    </w:p>
    <w:tbl>
      <w:tblPr>
        <w:tblStyle w:val="TableGrid"/>
        <w:bidiVisual/>
        <w:tblW w:w="0" w:type="auto"/>
        <w:tblLook w:val="04A0" w:firstRow="1" w:lastRow="0" w:firstColumn="1" w:lastColumn="0" w:noHBand="0" w:noVBand="1"/>
      </w:tblPr>
      <w:tblGrid>
        <w:gridCol w:w="704"/>
        <w:gridCol w:w="3968"/>
        <w:gridCol w:w="2336"/>
        <w:gridCol w:w="2337"/>
      </w:tblGrid>
      <w:tr w:rsidR="00863E6A" w14:paraId="630D7B7A" w14:textId="77777777" w:rsidTr="00755366">
        <w:tc>
          <w:tcPr>
            <w:tcW w:w="704" w:type="dxa"/>
            <w:vMerge w:val="restart"/>
          </w:tcPr>
          <w:p w14:paraId="3820454F" w14:textId="45F9C974" w:rsidR="00863E6A" w:rsidRPr="005A1836" w:rsidRDefault="005A1836" w:rsidP="00755366">
            <w:pPr>
              <w:pStyle w:val="NormalWeb"/>
              <w:bidi/>
              <w:jc w:val="both"/>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hint="cs"/>
                <w:b/>
                <w:bCs/>
                <w:sz w:val="32"/>
                <w:szCs w:val="32"/>
                <w:rtl/>
                <w:lang w:eastAsia="en-US" w:bidi="ar"/>
              </w:rPr>
              <w:t>رقم</w:t>
            </w:r>
          </w:p>
        </w:tc>
        <w:tc>
          <w:tcPr>
            <w:tcW w:w="3968" w:type="dxa"/>
            <w:vMerge w:val="restart"/>
          </w:tcPr>
          <w:p w14:paraId="490FC788"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الأحماض الدهنية</w:t>
            </w:r>
          </w:p>
        </w:tc>
        <w:tc>
          <w:tcPr>
            <w:tcW w:w="4673" w:type="dxa"/>
            <w:gridSpan w:val="2"/>
          </w:tcPr>
          <w:p w14:paraId="7D669275"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 مجموع الأحماض الدهنية</w:t>
            </w:r>
          </w:p>
        </w:tc>
      </w:tr>
      <w:tr w:rsidR="00863E6A" w14:paraId="0F7B84F2" w14:textId="77777777" w:rsidTr="00755366">
        <w:tc>
          <w:tcPr>
            <w:tcW w:w="704" w:type="dxa"/>
            <w:vMerge/>
          </w:tcPr>
          <w:p w14:paraId="1746E398" w14:textId="77777777" w:rsidR="00863E6A" w:rsidRPr="005A1836" w:rsidRDefault="00863E6A" w:rsidP="00755366">
            <w:pPr>
              <w:pStyle w:val="NormalWeb"/>
              <w:jc w:val="both"/>
              <w:rPr>
                <w:rFonts w:asciiTheme="minorHAnsi" w:eastAsiaTheme="minorHAnsi" w:hAnsiTheme="minorHAnsi" w:cstheme="minorBidi"/>
                <w:b/>
                <w:bCs/>
                <w:sz w:val="32"/>
                <w:szCs w:val="32"/>
                <w:lang w:eastAsia="en-US" w:bidi="ar"/>
              </w:rPr>
            </w:pPr>
          </w:p>
        </w:tc>
        <w:tc>
          <w:tcPr>
            <w:tcW w:w="3968" w:type="dxa"/>
            <w:vMerge/>
          </w:tcPr>
          <w:p w14:paraId="159603C1" w14:textId="77777777" w:rsidR="00863E6A" w:rsidRPr="005A1836" w:rsidRDefault="00863E6A" w:rsidP="00755366">
            <w:pPr>
              <w:pStyle w:val="NormalWeb"/>
              <w:jc w:val="both"/>
              <w:rPr>
                <w:rFonts w:asciiTheme="minorHAnsi" w:eastAsiaTheme="minorHAnsi" w:hAnsiTheme="minorHAnsi" w:cstheme="minorBidi"/>
                <w:b/>
                <w:bCs/>
                <w:sz w:val="32"/>
                <w:szCs w:val="32"/>
                <w:lang w:eastAsia="en-US" w:bidi="ar"/>
              </w:rPr>
            </w:pPr>
          </w:p>
        </w:tc>
        <w:tc>
          <w:tcPr>
            <w:tcW w:w="2336" w:type="dxa"/>
          </w:tcPr>
          <w:p w14:paraId="371ACC2B"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مجموعه</w:t>
            </w:r>
          </w:p>
        </w:tc>
        <w:tc>
          <w:tcPr>
            <w:tcW w:w="2337" w:type="dxa"/>
          </w:tcPr>
          <w:p w14:paraId="1A176B49" w14:textId="77777777" w:rsidR="00863E6A" w:rsidRPr="005A1836" w:rsidRDefault="00863E6A" w:rsidP="00755366">
            <w:pPr>
              <w:pStyle w:val="NormalWeb"/>
              <w:bidi/>
              <w:jc w:val="center"/>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متوسط</w:t>
            </w:r>
          </w:p>
        </w:tc>
      </w:tr>
      <w:tr w:rsidR="00863E6A" w14:paraId="099C4AA6" w14:textId="77777777" w:rsidTr="00755366">
        <w:tc>
          <w:tcPr>
            <w:tcW w:w="704" w:type="dxa"/>
          </w:tcPr>
          <w:p w14:paraId="10A7FEF3"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1</w:t>
            </w:r>
          </w:p>
        </w:tc>
        <w:tc>
          <w:tcPr>
            <w:tcW w:w="3968" w:type="dxa"/>
          </w:tcPr>
          <w:p w14:paraId="17EC6B40"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اللوريك (C12:0)</w:t>
            </w:r>
          </w:p>
        </w:tc>
        <w:tc>
          <w:tcPr>
            <w:tcW w:w="2336" w:type="dxa"/>
          </w:tcPr>
          <w:p w14:paraId="63DB27D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0.1-1.0</w:t>
            </w:r>
          </w:p>
        </w:tc>
        <w:tc>
          <w:tcPr>
            <w:tcW w:w="2337" w:type="dxa"/>
          </w:tcPr>
          <w:p w14:paraId="6994B979"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0.2</w:t>
            </w:r>
          </w:p>
        </w:tc>
      </w:tr>
      <w:tr w:rsidR="00863E6A" w14:paraId="7F431C95" w14:textId="77777777" w:rsidTr="00755366">
        <w:tc>
          <w:tcPr>
            <w:tcW w:w="704" w:type="dxa"/>
          </w:tcPr>
          <w:p w14:paraId="4BE8872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2</w:t>
            </w:r>
          </w:p>
        </w:tc>
        <w:tc>
          <w:tcPr>
            <w:tcW w:w="3968" w:type="dxa"/>
          </w:tcPr>
          <w:p w14:paraId="32962D53"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Myristic (C14:0)</w:t>
            </w:r>
          </w:p>
        </w:tc>
        <w:tc>
          <w:tcPr>
            <w:tcW w:w="2336" w:type="dxa"/>
          </w:tcPr>
          <w:p w14:paraId="4655A58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0.9 0 15</w:t>
            </w:r>
          </w:p>
        </w:tc>
        <w:tc>
          <w:tcPr>
            <w:tcW w:w="2337" w:type="dxa"/>
          </w:tcPr>
          <w:p w14:paraId="5EBC778C"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1.1</w:t>
            </w:r>
          </w:p>
        </w:tc>
      </w:tr>
      <w:tr w:rsidR="00863E6A" w14:paraId="37F08609" w14:textId="77777777" w:rsidTr="00755366">
        <w:tc>
          <w:tcPr>
            <w:tcW w:w="704" w:type="dxa"/>
          </w:tcPr>
          <w:p w14:paraId="4CAC8174"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3</w:t>
            </w:r>
          </w:p>
        </w:tc>
        <w:tc>
          <w:tcPr>
            <w:tcW w:w="3968" w:type="dxa"/>
          </w:tcPr>
          <w:p w14:paraId="10EF2CC4"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البالمتيك (C16:0)</w:t>
            </w:r>
          </w:p>
        </w:tc>
        <w:tc>
          <w:tcPr>
            <w:tcW w:w="2336" w:type="dxa"/>
          </w:tcPr>
          <w:p w14:paraId="429504B7"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41.8-45.8</w:t>
            </w:r>
          </w:p>
        </w:tc>
        <w:tc>
          <w:tcPr>
            <w:tcW w:w="2337" w:type="dxa"/>
          </w:tcPr>
          <w:p w14:paraId="69E2AC1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44.0</w:t>
            </w:r>
          </w:p>
        </w:tc>
      </w:tr>
      <w:tr w:rsidR="00863E6A" w14:paraId="058D4B49" w14:textId="77777777" w:rsidTr="00755366">
        <w:tc>
          <w:tcPr>
            <w:tcW w:w="704" w:type="dxa"/>
          </w:tcPr>
          <w:p w14:paraId="2152CA08"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w:t>
            </w:r>
          </w:p>
        </w:tc>
        <w:tc>
          <w:tcPr>
            <w:tcW w:w="3968" w:type="dxa"/>
          </w:tcPr>
          <w:p w14:paraId="001D68AE"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البالميتوليك(C16:1))</w:t>
            </w:r>
          </w:p>
        </w:tc>
        <w:tc>
          <w:tcPr>
            <w:tcW w:w="2336" w:type="dxa"/>
          </w:tcPr>
          <w:p w14:paraId="0345918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0.1-0.3</w:t>
            </w:r>
          </w:p>
        </w:tc>
        <w:tc>
          <w:tcPr>
            <w:tcW w:w="2337" w:type="dxa"/>
          </w:tcPr>
          <w:p w14:paraId="1EED02B3"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0.1</w:t>
            </w:r>
          </w:p>
        </w:tc>
      </w:tr>
      <w:tr w:rsidR="00863E6A" w14:paraId="53981745" w14:textId="77777777" w:rsidTr="00755366">
        <w:tc>
          <w:tcPr>
            <w:tcW w:w="704" w:type="dxa"/>
          </w:tcPr>
          <w:p w14:paraId="188DE0F0"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5</w:t>
            </w:r>
          </w:p>
        </w:tc>
        <w:tc>
          <w:tcPr>
            <w:tcW w:w="3968" w:type="dxa"/>
          </w:tcPr>
          <w:p w14:paraId="15FB15DE"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Stearic (C18:0)</w:t>
            </w:r>
          </w:p>
        </w:tc>
        <w:tc>
          <w:tcPr>
            <w:tcW w:w="2336" w:type="dxa"/>
          </w:tcPr>
          <w:p w14:paraId="5C82AA18"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4.2-5.1</w:t>
            </w:r>
          </w:p>
        </w:tc>
        <w:tc>
          <w:tcPr>
            <w:tcW w:w="2337" w:type="dxa"/>
          </w:tcPr>
          <w:p w14:paraId="1BC44502"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4.5</w:t>
            </w:r>
          </w:p>
        </w:tc>
      </w:tr>
      <w:tr w:rsidR="00863E6A" w14:paraId="3B7C1D83" w14:textId="77777777" w:rsidTr="00755366">
        <w:tc>
          <w:tcPr>
            <w:tcW w:w="704" w:type="dxa"/>
          </w:tcPr>
          <w:p w14:paraId="0CC19F17"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6</w:t>
            </w:r>
          </w:p>
        </w:tc>
        <w:tc>
          <w:tcPr>
            <w:tcW w:w="3968" w:type="dxa"/>
          </w:tcPr>
          <w:p w14:paraId="7B00F3D8"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الأوليك (C18:1)</w:t>
            </w:r>
          </w:p>
        </w:tc>
        <w:tc>
          <w:tcPr>
            <w:tcW w:w="2336" w:type="dxa"/>
          </w:tcPr>
          <w:p w14:paraId="6E97920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37.3-40.8</w:t>
            </w:r>
          </w:p>
        </w:tc>
        <w:tc>
          <w:tcPr>
            <w:tcW w:w="2337" w:type="dxa"/>
          </w:tcPr>
          <w:p w14:paraId="47CA6B1D"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39.2</w:t>
            </w:r>
          </w:p>
        </w:tc>
      </w:tr>
      <w:tr w:rsidR="00863E6A" w14:paraId="0BF0E1BA" w14:textId="77777777" w:rsidTr="00755366">
        <w:tc>
          <w:tcPr>
            <w:tcW w:w="704" w:type="dxa"/>
          </w:tcPr>
          <w:p w14:paraId="23850C99"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7</w:t>
            </w:r>
          </w:p>
        </w:tc>
        <w:tc>
          <w:tcPr>
            <w:tcW w:w="3968" w:type="dxa"/>
          </w:tcPr>
          <w:p w14:paraId="42411389"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اللينوليك (C18:2)</w:t>
            </w:r>
          </w:p>
        </w:tc>
        <w:tc>
          <w:tcPr>
            <w:tcW w:w="2336" w:type="dxa"/>
          </w:tcPr>
          <w:p w14:paraId="55975353"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9.1-11.0</w:t>
            </w:r>
          </w:p>
        </w:tc>
        <w:tc>
          <w:tcPr>
            <w:tcW w:w="2337" w:type="dxa"/>
          </w:tcPr>
          <w:p w14:paraId="296467DA"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10.1</w:t>
            </w:r>
          </w:p>
        </w:tc>
      </w:tr>
      <w:tr w:rsidR="00863E6A" w14:paraId="4682DE35" w14:textId="77777777" w:rsidTr="00755366">
        <w:tc>
          <w:tcPr>
            <w:tcW w:w="704" w:type="dxa"/>
          </w:tcPr>
          <w:p w14:paraId="331053A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8</w:t>
            </w:r>
          </w:p>
        </w:tc>
        <w:tc>
          <w:tcPr>
            <w:tcW w:w="3968" w:type="dxa"/>
          </w:tcPr>
          <w:p w14:paraId="1465A7D4"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اللينولينك (C18:3)</w:t>
            </w:r>
          </w:p>
        </w:tc>
        <w:tc>
          <w:tcPr>
            <w:tcW w:w="2336" w:type="dxa"/>
          </w:tcPr>
          <w:p w14:paraId="1AE41D0D"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0.0-0.6</w:t>
            </w:r>
          </w:p>
        </w:tc>
        <w:tc>
          <w:tcPr>
            <w:tcW w:w="2337" w:type="dxa"/>
          </w:tcPr>
          <w:p w14:paraId="3C3B3591"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0.4</w:t>
            </w:r>
          </w:p>
        </w:tc>
      </w:tr>
      <w:tr w:rsidR="00863E6A" w14:paraId="2B56E15B" w14:textId="77777777" w:rsidTr="00755366">
        <w:tc>
          <w:tcPr>
            <w:tcW w:w="704" w:type="dxa"/>
          </w:tcPr>
          <w:p w14:paraId="25936BA0"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9</w:t>
            </w:r>
          </w:p>
        </w:tc>
        <w:tc>
          <w:tcPr>
            <w:tcW w:w="3968" w:type="dxa"/>
          </w:tcPr>
          <w:p w14:paraId="2394A0D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حمض أراكيدونيك (C20:0)</w:t>
            </w:r>
          </w:p>
        </w:tc>
        <w:tc>
          <w:tcPr>
            <w:tcW w:w="2336" w:type="dxa"/>
          </w:tcPr>
          <w:p w14:paraId="17EADEB4"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0.2-0.7</w:t>
            </w:r>
          </w:p>
        </w:tc>
        <w:tc>
          <w:tcPr>
            <w:tcW w:w="2337" w:type="dxa"/>
          </w:tcPr>
          <w:p w14:paraId="286E5245" w14:textId="77777777" w:rsidR="00863E6A" w:rsidRPr="005A1836" w:rsidRDefault="00863E6A" w:rsidP="00755366">
            <w:pPr>
              <w:pStyle w:val="NormalWeb"/>
              <w:bidi/>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0.4</w:t>
            </w:r>
          </w:p>
        </w:tc>
      </w:tr>
    </w:tbl>
    <w:p w14:paraId="3F10340E" w14:textId="7F0AFCC1" w:rsidR="00863E6A" w:rsidRPr="005D0611" w:rsidRDefault="00863E6A" w:rsidP="00863E6A">
      <w:pPr>
        <w:pStyle w:val="NormalWeb"/>
        <w:bidi/>
        <w:jc w:val="both"/>
        <w:rPr>
          <w:b/>
          <w:bCs/>
          <w:i/>
          <w:iCs/>
          <w:sz w:val="20"/>
          <w:szCs w:val="20"/>
          <w:lang w:val="en-US"/>
        </w:rPr>
      </w:pPr>
      <w:r w:rsidRPr="005D0611">
        <w:rPr>
          <w:b/>
          <w:bCs/>
          <w:i/>
          <w:iCs/>
          <w:sz w:val="20"/>
          <w:szCs w:val="20"/>
          <w:rtl/>
          <w:lang w:bidi="ar"/>
        </w:rPr>
        <w:t xml:space="preserve">المصدر: </w:t>
      </w:r>
      <w:proofErr w:type="spellStart"/>
      <w:r w:rsidR="008330EF" w:rsidRPr="005D0611">
        <w:rPr>
          <w:b/>
          <w:bCs/>
          <w:i/>
          <w:iCs/>
          <w:sz w:val="20"/>
          <w:szCs w:val="20"/>
          <w:lang w:val="en-US"/>
        </w:rPr>
        <w:t>Hariyadi</w:t>
      </w:r>
      <w:proofErr w:type="spellEnd"/>
    </w:p>
    <w:p w14:paraId="07235A1C" w14:textId="77777777" w:rsidR="005A1836" w:rsidRDefault="005A1836" w:rsidP="00C833F8">
      <w:pPr>
        <w:pStyle w:val="NormalWeb"/>
        <w:bidi/>
        <w:spacing w:line="360" w:lineRule="auto"/>
        <w:jc w:val="both"/>
        <w:rPr>
          <w:rFonts w:asciiTheme="minorHAnsi" w:eastAsiaTheme="minorHAnsi" w:hAnsiTheme="minorHAnsi" w:cstheme="minorBidi"/>
          <w:sz w:val="32"/>
          <w:szCs w:val="32"/>
          <w:rtl/>
          <w:lang w:eastAsia="en-US" w:bidi="ar"/>
        </w:rPr>
      </w:pPr>
    </w:p>
    <w:p w14:paraId="5EA05EA2" w14:textId="328082B6" w:rsidR="00863E6A" w:rsidRPr="005A1836" w:rsidRDefault="00863E6A" w:rsidP="005A1836">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وفقا للجدول أعلاه، </w:t>
      </w:r>
      <w:r w:rsidR="00CC07A5" w:rsidRPr="005A1836">
        <w:rPr>
          <w:rFonts w:asciiTheme="minorHAnsi" w:eastAsiaTheme="minorHAnsi" w:hAnsiTheme="minorHAnsi" w:cstheme="minorBidi"/>
          <w:sz w:val="32"/>
          <w:szCs w:val="32"/>
          <w:rtl/>
          <w:lang w:eastAsia="en-US" w:bidi="ar"/>
        </w:rPr>
        <w:t xml:space="preserve">يحتوي </w:t>
      </w:r>
      <w:r w:rsidRPr="005A1836">
        <w:rPr>
          <w:rFonts w:asciiTheme="minorHAnsi" w:eastAsiaTheme="minorHAnsi" w:hAnsiTheme="minorHAnsi" w:cstheme="minorBidi"/>
          <w:sz w:val="32"/>
          <w:szCs w:val="32"/>
          <w:rtl/>
          <w:lang w:eastAsia="en-US" w:bidi="ar"/>
        </w:rPr>
        <w:t xml:space="preserve">زيت النخيل </w:t>
      </w:r>
      <w:r w:rsidR="00CC07A5" w:rsidRPr="005A1836">
        <w:rPr>
          <w:rFonts w:asciiTheme="minorHAnsi" w:eastAsiaTheme="minorHAnsi" w:hAnsiTheme="minorHAnsi" w:cstheme="minorBidi" w:hint="cs"/>
          <w:sz w:val="32"/>
          <w:szCs w:val="32"/>
          <w:rtl/>
          <w:lang w:eastAsia="en-US" w:bidi="ar"/>
        </w:rPr>
        <w:t>على</w:t>
      </w:r>
      <w:r w:rsidRPr="005A1836">
        <w:rPr>
          <w:rFonts w:asciiTheme="minorHAnsi" w:eastAsiaTheme="minorHAnsi" w:hAnsiTheme="minorHAnsi" w:cstheme="minorBidi"/>
          <w:sz w:val="32"/>
          <w:szCs w:val="32"/>
          <w:rtl/>
          <w:lang w:eastAsia="en-US" w:bidi="ar"/>
        </w:rPr>
        <w:t xml:space="preserve"> تكوين مستقر من الأحماض الدهنية المشبعة والأحماض الدهنية غير المشبعة. لا يتم تصنيف زيت النخيل كزيت نباتي مع الخصائص السلوكية للأحماض الدهنية المشبعة. بدلا من ذلك، ككل ، لديها سلوك الزيوت الأحادية المشبعة.</w:t>
      </w:r>
    </w:p>
    <w:p w14:paraId="232809C5" w14:textId="1AB23BAA" w:rsidR="00C833F8" w:rsidRDefault="00C833F8" w:rsidP="00C833F8">
      <w:pPr>
        <w:pStyle w:val="NormalWeb"/>
        <w:bidi/>
        <w:spacing w:line="360" w:lineRule="auto"/>
        <w:jc w:val="both"/>
        <w:rPr>
          <w:rFonts w:ascii="Arial" w:hAnsi="Arial" w:cs="Arial"/>
          <w:rtl/>
          <w:lang w:bidi="ar"/>
        </w:rPr>
      </w:pPr>
    </w:p>
    <w:p w14:paraId="42A7980A" w14:textId="77777777" w:rsidR="005A1836" w:rsidRPr="00C833F8" w:rsidRDefault="005A1836" w:rsidP="005A1836">
      <w:pPr>
        <w:pStyle w:val="NormalWeb"/>
        <w:bidi/>
        <w:spacing w:line="360" w:lineRule="auto"/>
        <w:jc w:val="both"/>
        <w:rPr>
          <w:rFonts w:ascii="Arial" w:hAnsi="Arial" w:cs="Arial"/>
          <w:rtl/>
          <w:lang w:bidi="ar"/>
        </w:rPr>
      </w:pPr>
    </w:p>
    <w:p w14:paraId="361C943C" w14:textId="77777777" w:rsidR="004825C8" w:rsidRPr="005A1836" w:rsidRDefault="004825C8" w:rsidP="002C1069">
      <w:pPr>
        <w:pStyle w:val="NormalWeb"/>
        <w:bidi/>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أنشطة التعاون الأخيرة في قطاع زيت النخيل</w:t>
      </w:r>
    </w:p>
    <w:p w14:paraId="016F9BF1" w14:textId="40A090A9" w:rsidR="004825C8" w:rsidRPr="005A1836" w:rsidRDefault="004825C8"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شهد إطلاق البرنامج الماليزي لبناء القدرات لبلدان منظمة </w:t>
      </w:r>
      <w:r w:rsidR="00CC07A5" w:rsidRPr="005A1836">
        <w:rPr>
          <w:rFonts w:asciiTheme="minorHAnsi" w:eastAsiaTheme="minorHAnsi" w:hAnsiTheme="minorHAnsi" w:cstheme="minorBidi" w:hint="cs"/>
          <w:sz w:val="32"/>
          <w:szCs w:val="32"/>
          <w:rtl/>
          <w:lang w:eastAsia="en-US" w:bidi="ar"/>
        </w:rPr>
        <w:t>التعاون</w:t>
      </w:r>
      <w:r w:rsidRPr="005A1836">
        <w:rPr>
          <w:rFonts w:asciiTheme="minorHAnsi" w:eastAsiaTheme="minorHAnsi" w:hAnsiTheme="minorHAnsi" w:cstheme="minorBidi"/>
          <w:sz w:val="32"/>
          <w:szCs w:val="32"/>
          <w:rtl/>
          <w:lang w:eastAsia="en-US" w:bidi="ar"/>
        </w:rPr>
        <w:t xml:space="preserve"> الإسلامي في عام 2005 </w:t>
      </w:r>
      <w:r w:rsidR="00CC07A5" w:rsidRPr="005A1836">
        <w:rPr>
          <w:rFonts w:asciiTheme="minorHAnsi" w:eastAsiaTheme="minorHAnsi" w:hAnsiTheme="minorHAnsi" w:cstheme="minorBidi"/>
          <w:sz w:val="32"/>
          <w:szCs w:val="32"/>
          <w:lang w:eastAsia="en-US" w:bidi="ar"/>
        </w:rPr>
        <w:t>(CBP4OICC)</w:t>
      </w:r>
      <w:r w:rsidR="00CC07A5" w:rsidRPr="005A1836">
        <w:rPr>
          <w:rFonts w:asciiTheme="minorHAnsi" w:eastAsiaTheme="minorHAnsi" w:hAnsiTheme="minorHAnsi" w:cstheme="minorBidi" w:hint="cs"/>
          <w:sz w:val="32"/>
          <w:szCs w:val="32"/>
          <w:rtl/>
          <w:lang w:eastAsia="en-US" w:bidi="ar"/>
        </w:rPr>
        <w:t xml:space="preserve"> </w:t>
      </w:r>
      <w:r w:rsidRPr="005A1836">
        <w:rPr>
          <w:rFonts w:asciiTheme="minorHAnsi" w:eastAsiaTheme="minorHAnsi" w:hAnsiTheme="minorHAnsi" w:cstheme="minorBidi"/>
          <w:sz w:val="32"/>
          <w:szCs w:val="32"/>
          <w:rtl/>
          <w:lang w:eastAsia="en-US" w:bidi="ar"/>
        </w:rPr>
        <w:t>مشروعا قويا للربط العكسي في سيراليون، تم بموجبه نشر الخبرة التقنية الماليزية، بدعم مالي من البنك الإسلامي للتنمية لمزرعة زيت النخيل في سيراليون.</w:t>
      </w:r>
    </w:p>
    <w:p w14:paraId="71BC5BF3" w14:textId="77777777" w:rsidR="008C6219" w:rsidRPr="005A1836" w:rsidRDefault="008C6219"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 xml:space="preserve">ويمكن تكرار هذا المثال العملي للتعاون الثلاثي بين بلدان الجنوب </w:t>
      </w:r>
      <w:r w:rsidRPr="005A1836">
        <w:rPr>
          <w:rFonts w:asciiTheme="minorHAnsi" w:eastAsiaTheme="minorHAnsi" w:hAnsiTheme="minorHAnsi" w:cstheme="minorBidi" w:hint="cs"/>
          <w:sz w:val="32"/>
          <w:szCs w:val="32"/>
          <w:rtl/>
          <w:lang w:eastAsia="en-US" w:bidi="ar"/>
        </w:rPr>
        <w:t xml:space="preserve"> والجنوب </w:t>
      </w:r>
      <w:r w:rsidRPr="005A1836">
        <w:rPr>
          <w:rFonts w:asciiTheme="minorHAnsi" w:eastAsiaTheme="minorHAnsi" w:hAnsiTheme="minorHAnsi" w:cstheme="minorBidi"/>
          <w:sz w:val="32"/>
          <w:szCs w:val="32"/>
          <w:rtl/>
          <w:lang w:eastAsia="en-US" w:bidi="ar"/>
        </w:rPr>
        <w:t xml:space="preserve">من خلال وضع خطة عمل بشأن تطوير صناعة زيت النخيل في الدول الأعضاء في المنظمة </w:t>
      </w:r>
      <w:r w:rsidRPr="005A1836">
        <w:rPr>
          <w:rFonts w:asciiTheme="minorHAnsi" w:eastAsiaTheme="minorHAnsi" w:hAnsiTheme="minorHAnsi" w:cstheme="minorBidi" w:hint="cs"/>
          <w:sz w:val="32"/>
          <w:szCs w:val="32"/>
          <w:rtl/>
          <w:lang w:eastAsia="en-US" w:bidi="ar"/>
        </w:rPr>
        <w:t>الإسلامية للأمن الغذائي</w:t>
      </w:r>
      <w:r w:rsidRPr="005A1836">
        <w:rPr>
          <w:rFonts w:asciiTheme="minorHAnsi" w:eastAsiaTheme="minorHAnsi" w:hAnsiTheme="minorHAnsi" w:cstheme="minorBidi"/>
          <w:sz w:val="32"/>
          <w:szCs w:val="32"/>
          <w:rtl/>
          <w:lang w:eastAsia="en-US" w:bidi="ar"/>
        </w:rPr>
        <w:t xml:space="preserve">/منظمة </w:t>
      </w:r>
      <w:r w:rsidRPr="005A1836">
        <w:rPr>
          <w:rFonts w:asciiTheme="minorHAnsi" w:eastAsiaTheme="minorHAnsi" w:hAnsiTheme="minorHAnsi" w:cstheme="minorBidi" w:hint="cs"/>
          <w:sz w:val="32"/>
          <w:szCs w:val="32"/>
          <w:rtl/>
          <w:lang w:eastAsia="en-US" w:bidi="ar"/>
        </w:rPr>
        <w:t>التعاون</w:t>
      </w:r>
      <w:r w:rsidRPr="005A1836">
        <w:rPr>
          <w:rFonts w:asciiTheme="minorHAnsi" w:eastAsiaTheme="minorHAnsi" w:hAnsiTheme="minorHAnsi" w:cstheme="minorBidi"/>
          <w:sz w:val="32"/>
          <w:szCs w:val="32"/>
          <w:rtl/>
          <w:lang w:eastAsia="en-US" w:bidi="ar"/>
        </w:rPr>
        <w:t xml:space="preserve"> الإسلامي، نظرا ً لمزاياها العديدة للأمن الغذائي، </w:t>
      </w:r>
      <w:r w:rsidRPr="005A1836">
        <w:rPr>
          <w:rFonts w:asciiTheme="minorHAnsi" w:eastAsiaTheme="minorHAnsi" w:hAnsiTheme="minorHAnsi" w:cstheme="minorBidi" w:hint="cs"/>
          <w:sz w:val="32"/>
          <w:szCs w:val="32"/>
          <w:rtl/>
          <w:lang w:eastAsia="en-US" w:bidi="ar"/>
        </w:rPr>
        <w:t>وتكوين</w:t>
      </w:r>
      <w:r w:rsidRPr="005A1836">
        <w:rPr>
          <w:rFonts w:asciiTheme="minorHAnsi" w:eastAsiaTheme="minorHAnsi" w:hAnsiTheme="minorHAnsi" w:cstheme="minorBidi"/>
          <w:sz w:val="32"/>
          <w:szCs w:val="32"/>
          <w:rtl/>
          <w:lang w:eastAsia="en-US" w:bidi="ar"/>
        </w:rPr>
        <w:t xml:space="preserve"> الثرو</w:t>
      </w:r>
      <w:r w:rsidRPr="005A1836">
        <w:rPr>
          <w:rFonts w:asciiTheme="minorHAnsi" w:eastAsiaTheme="minorHAnsi" w:hAnsiTheme="minorHAnsi" w:cstheme="minorBidi" w:hint="cs"/>
          <w:sz w:val="32"/>
          <w:szCs w:val="32"/>
          <w:rtl/>
          <w:lang w:eastAsia="en-US" w:bidi="ar"/>
        </w:rPr>
        <w:t>ات</w:t>
      </w:r>
      <w:r w:rsidRPr="005A1836">
        <w:rPr>
          <w:rFonts w:asciiTheme="minorHAnsi" w:eastAsiaTheme="minorHAnsi" w:hAnsiTheme="minorHAnsi" w:cstheme="minorBidi"/>
          <w:sz w:val="32"/>
          <w:szCs w:val="32"/>
          <w:rtl/>
          <w:lang w:eastAsia="en-US" w:bidi="ar"/>
        </w:rPr>
        <w:t>، والنمو الاجتماعي والاقتصادي لاقتصادات الدول الأعضاء.</w:t>
      </w:r>
    </w:p>
    <w:p w14:paraId="343BDCC9" w14:textId="3342908D" w:rsidR="00A86C01" w:rsidRPr="005A1836" w:rsidRDefault="00A86C01" w:rsidP="00C833F8">
      <w:pPr>
        <w:pStyle w:val="NormalWeb"/>
        <w:bidi/>
        <w:spacing w:line="360" w:lineRule="auto"/>
        <w:jc w:val="both"/>
        <w:rPr>
          <w:rFonts w:asciiTheme="minorHAnsi" w:eastAsiaTheme="minorHAnsi" w:hAnsiTheme="minorHAnsi" w:cstheme="minorBidi"/>
          <w:sz w:val="32"/>
          <w:szCs w:val="32"/>
          <w:rtl/>
          <w:lang w:eastAsia="en-US" w:bidi="ar"/>
        </w:rPr>
      </w:pPr>
      <w:r w:rsidRPr="005A1836">
        <w:rPr>
          <w:rFonts w:asciiTheme="minorHAnsi" w:eastAsiaTheme="minorHAnsi" w:hAnsiTheme="minorHAnsi" w:cstheme="minorBidi"/>
          <w:sz w:val="32"/>
          <w:szCs w:val="32"/>
          <w:rtl/>
          <w:lang w:eastAsia="en-US" w:bidi="ar"/>
        </w:rPr>
        <w:t>منذ بدء عم</w:t>
      </w:r>
      <w:r w:rsidR="00EC0A3A" w:rsidRPr="005A1836">
        <w:rPr>
          <w:rFonts w:asciiTheme="minorHAnsi" w:eastAsiaTheme="minorHAnsi" w:hAnsiTheme="minorHAnsi" w:cstheme="minorBidi" w:hint="cs"/>
          <w:sz w:val="32"/>
          <w:szCs w:val="32"/>
          <w:rtl/>
          <w:lang w:eastAsia="en-US" w:bidi="ar"/>
        </w:rPr>
        <w:t>له</w:t>
      </w:r>
      <w:r w:rsidRPr="005A1836">
        <w:rPr>
          <w:rFonts w:asciiTheme="minorHAnsi" w:eastAsiaTheme="minorHAnsi" w:hAnsiTheme="minorHAnsi" w:cstheme="minorBidi"/>
          <w:sz w:val="32"/>
          <w:szCs w:val="32"/>
          <w:rtl/>
          <w:lang w:eastAsia="en-US" w:bidi="ar"/>
        </w:rPr>
        <w:t xml:space="preserve">ا، عقد المدير العام للمنظمة الإسلامية للأمن الغذائي، ضمن </w:t>
      </w:r>
      <w:r w:rsidR="00EC0A3A" w:rsidRPr="005A1836">
        <w:rPr>
          <w:rFonts w:asciiTheme="minorHAnsi" w:eastAsiaTheme="minorHAnsi" w:hAnsiTheme="minorHAnsi" w:cstheme="minorBidi" w:hint="cs"/>
          <w:sz w:val="32"/>
          <w:szCs w:val="32"/>
          <w:rtl/>
          <w:lang w:eastAsia="en-US" w:bidi="ar"/>
        </w:rPr>
        <w:t xml:space="preserve">مهامه المؤسسى </w:t>
      </w:r>
      <w:r w:rsidRPr="005A1836">
        <w:rPr>
          <w:rFonts w:asciiTheme="minorHAnsi" w:eastAsiaTheme="minorHAnsi" w:hAnsiTheme="minorHAnsi" w:cstheme="minorBidi"/>
          <w:sz w:val="32"/>
          <w:szCs w:val="32"/>
          <w:rtl/>
          <w:lang w:eastAsia="en-US" w:bidi="ar"/>
        </w:rPr>
        <w:t xml:space="preserve"> لضمان الأمن الغذائي وحماية المنتجات الغذائية الهامة والاستراتيجية، العديد من الاجتماعات مع كبار المسؤولين من GAPKI الاندونيسية، ومجلس</w:t>
      </w:r>
      <w:r w:rsidR="002C1069" w:rsidRPr="005A1836">
        <w:rPr>
          <w:rFonts w:asciiTheme="minorHAnsi" w:eastAsiaTheme="minorHAnsi" w:hAnsiTheme="minorHAnsi" w:cstheme="minorBidi" w:hint="cs"/>
          <w:sz w:val="32"/>
          <w:szCs w:val="32"/>
          <w:rtl/>
          <w:lang w:eastAsia="en-US" w:bidi="ar"/>
        </w:rPr>
        <w:t>ى</w:t>
      </w:r>
      <w:r w:rsidRPr="005A1836">
        <w:rPr>
          <w:rFonts w:asciiTheme="minorHAnsi" w:eastAsiaTheme="minorHAnsi" w:hAnsiTheme="minorHAnsi" w:cstheme="minorBidi"/>
          <w:sz w:val="32"/>
          <w:szCs w:val="32"/>
          <w:rtl/>
          <w:lang w:eastAsia="en-US" w:bidi="ar"/>
        </w:rPr>
        <w:t xml:space="preserve"> منتجي زيت النخيل الماليزي، وممثلي وزاراتهم لمناقشة قضايا التأثير السلبي لزيادة الحواجز الجمركية وغير الجمركية لاستيراد زيت النخيل و منتجات</w:t>
      </w:r>
      <w:r w:rsidRPr="005A1836">
        <w:rPr>
          <w:rFonts w:asciiTheme="minorHAnsi" w:eastAsiaTheme="minorHAnsi" w:hAnsiTheme="minorHAnsi" w:cstheme="minorBidi" w:hint="cs"/>
          <w:sz w:val="32"/>
          <w:szCs w:val="32"/>
          <w:rtl/>
          <w:lang w:eastAsia="en-US" w:bidi="ar"/>
        </w:rPr>
        <w:t>ه</w:t>
      </w:r>
      <w:r w:rsidRPr="005A1836">
        <w:rPr>
          <w:rFonts w:asciiTheme="minorHAnsi" w:eastAsiaTheme="minorHAnsi" w:hAnsiTheme="minorHAnsi" w:cstheme="minorBidi"/>
          <w:sz w:val="32"/>
          <w:szCs w:val="32"/>
          <w:rtl/>
          <w:lang w:eastAsia="en-US" w:bidi="ar"/>
        </w:rPr>
        <w:t xml:space="preserve"> إلى دول الاتحاد الأوروبي، وتقليل آثار الدعاية السلبية الجارية ضد </w:t>
      </w:r>
      <w:r w:rsidRPr="005A1836">
        <w:rPr>
          <w:rFonts w:asciiTheme="minorHAnsi" w:eastAsiaTheme="minorHAnsi" w:hAnsiTheme="minorHAnsi" w:cstheme="minorBidi" w:hint="cs"/>
          <w:sz w:val="32"/>
          <w:szCs w:val="32"/>
          <w:rtl/>
          <w:lang w:eastAsia="en-US" w:bidi="ar"/>
        </w:rPr>
        <w:t>جودة</w:t>
      </w:r>
      <w:r w:rsidRPr="005A1836">
        <w:rPr>
          <w:rFonts w:asciiTheme="minorHAnsi" w:eastAsiaTheme="minorHAnsi" w:hAnsiTheme="minorHAnsi" w:cstheme="minorBidi"/>
          <w:sz w:val="32"/>
          <w:szCs w:val="32"/>
          <w:rtl/>
          <w:lang w:eastAsia="en-US" w:bidi="ar"/>
        </w:rPr>
        <w:t xml:space="preserve"> الغذاء </w:t>
      </w:r>
      <w:r w:rsidRPr="005A1836">
        <w:rPr>
          <w:rFonts w:asciiTheme="minorHAnsi" w:eastAsiaTheme="minorHAnsi" w:hAnsiTheme="minorHAnsi" w:cstheme="minorBidi" w:hint="cs"/>
          <w:sz w:val="32"/>
          <w:szCs w:val="32"/>
          <w:rtl/>
          <w:lang w:eastAsia="en-US" w:bidi="ar"/>
        </w:rPr>
        <w:t>ل</w:t>
      </w:r>
      <w:r w:rsidRPr="005A1836">
        <w:rPr>
          <w:rFonts w:asciiTheme="minorHAnsi" w:eastAsiaTheme="minorHAnsi" w:hAnsiTheme="minorHAnsi" w:cstheme="minorBidi"/>
          <w:sz w:val="32"/>
          <w:szCs w:val="32"/>
          <w:rtl/>
          <w:lang w:eastAsia="en-US" w:bidi="ar"/>
        </w:rPr>
        <w:t>زيت النخيل.  و</w:t>
      </w:r>
      <w:r w:rsidRPr="005A1836">
        <w:rPr>
          <w:rFonts w:asciiTheme="minorHAnsi" w:eastAsiaTheme="minorHAnsi" w:hAnsiTheme="minorHAnsi" w:cstheme="minorBidi" w:hint="cs"/>
          <w:sz w:val="32"/>
          <w:szCs w:val="32"/>
          <w:rtl/>
          <w:lang w:eastAsia="en-US" w:bidi="ar"/>
        </w:rPr>
        <w:t xml:space="preserve">لتحقيق </w:t>
      </w:r>
      <w:r w:rsidRPr="005A1836">
        <w:rPr>
          <w:rFonts w:asciiTheme="minorHAnsi" w:eastAsiaTheme="minorHAnsi" w:hAnsiTheme="minorHAnsi" w:cstheme="minorBidi"/>
          <w:sz w:val="32"/>
          <w:szCs w:val="32"/>
          <w:rtl/>
          <w:lang w:eastAsia="en-US" w:bidi="ar"/>
        </w:rPr>
        <w:t xml:space="preserve">هذه الغاية، شاركت المنظمة </w:t>
      </w:r>
      <w:r w:rsidRPr="005A1836">
        <w:rPr>
          <w:rFonts w:asciiTheme="minorHAnsi" w:eastAsiaTheme="minorHAnsi" w:hAnsiTheme="minorHAnsi" w:cstheme="minorBidi" w:hint="cs"/>
          <w:sz w:val="32"/>
          <w:szCs w:val="32"/>
          <w:rtl/>
          <w:lang w:eastAsia="en-US" w:bidi="ar"/>
        </w:rPr>
        <w:t xml:space="preserve">الإسلامية للأمن الغذائي </w:t>
      </w:r>
      <w:r w:rsidRPr="005A1836">
        <w:rPr>
          <w:rFonts w:asciiTheme="minorHAnsi" w:eastAsiaTheme="minorHAnsi" w:hAnsiTheme="minorHAnsi" w:cstheme="minorBidi"/>
          <w:sz w:val="32"/>
          <w:szCs w:val="32"/>
          <w:rtl/>
          <w:lang w:eastAsia="en-US" w:bidi="ar"/>
        </w:rPr>
        <w:t xml:space="preserve">أيضا في </w:t>
      </w:r>
      <w:r w:rsidRPr="005A1836">
        <w:rPr>
          <w:rFonts w:asciiTheme="minorHAnsi" w:eastAsiaTheme="minorHAnsi" w:hAnsiTheme="minorHAnsi" w:cstheme="minorBidi" w:hint="cs"/>
          <w:sz w:val="32"/>
          <w:szCs w:val="32"/>
          <w:rtl/>
          <w:lang w:eastAsia="en-US" w:bidi="ar"/>
        </w:rPr>
        <w:t>ندوة</w:t>
      </w:r>
      <w:r w:rsidRPr="005A1836">
        <w:rPr>
          <w:rFonts w:asciiTheme="minorHAnsi" w:eastAsiaTheme="minorHAnsi" w:hAnsiTheme="minorHAnsi" w:cstheme="minorBidi"/>
          <w:sz w:val="32"/>
          <w:szCs w:val="32"/>
          <w:rtl/>
          <w:lang w:eastAsia="en-US" w:bidi="ar"/>
        </w:rPr>
        <w:t xml:space="preserve"> محلية للمستهلكين من الدهون الزيتية ودرست </w:t>
      </w:r>
      <w:r w:rsidRPr="005A1836">
        <w:rPr>
          <w:rFonts w:asciiTheme="minorHAnsi" w:eastAsiaTheme="minorHAnsi" w:hAnsiTheme="minorHAnsi" w:cstheme="minorBidi" w:hint="cs"/>
          <w:sz w:val="32"/>
          <w:szCs w:val="32"/>
          <w:rtl/>
          <w:lang w:eastAsia="en-US" w:bidi="ar"/>
        </w:rPr>
        <w:t>طرق</w:t>
      </w:r>
      <w:r w:rsidRPr="005A1836">
        <w:rPr>
          <w:rFonts w:asciiTheme="minorHAnsi" w:eastAsiaTheme="minorHAnsi" w:hAnsiTheme="minorHAnsi" w:cstheme="minorBidi"/>
          <w:sz w:val="32"/>
          <w:szCs w:val="32"/>
          <w:rtl/>
          <w:lang w:eastAsia="en-US" w:bidi="ar"/>
        </w:rPr>
        <w:t xml:space="preserve"> العمل داخل المنطقة مع مجلس منتجي زيت النخيل المالي</w:t>
      </w:r>
      <w:r w:rsidR="002C1069" w:rsidRPr="005A1836">
        <w:rPr>
          <w:rFonts w:asciiTheme="minorHAnsi" w:eastAsiaTheme="minorHAnsi" w:hAnsiTheme="minorHAnsi" w:cstheme="minorBidi" w:hint="cs"/>
          <w:sz w:val="32"/>
          <w:szCs w:val="32"/>
          <w:rtl/>
          <w:lang w:eastAsia="en-US" w:bidi="ar"/>
        </w:rPr>
        <w:t>زي</w:t>
      </w:r>
      <w:r w:rsidRPr="005A1836">
        <w:rPr>
          <w:rFonts w:asciiTheme="minorHAnsi" w:eastAsiaTheme="minorHAnsi" w:hAnsiTheme="minorHAnsi" w:cstheme="minorBidi"/>
          <w:sz w:val="32"/>
          <w:szCs w:val="32"/>
          <w:rtl/>
          <w:lang w:eastAsia="en-US" w:bidi="ar"/>
        </w:rPr>
        <w:t>.</w:t>
      </w:r>
    </w:p>
    <w:p w14:paraId="566773AF" w14:textId="0BE2312D" w:rsidR="004825C8" w:rsidRPr="005A1836" w:rsidRDefault="004825C8" w:rsidP="002C1069">
      <w:pPr>
        <w:pStyle w:val="NormalWeb"/>
        <w:bidi/>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إمكانات البحث والتطوير التكنولوجي</w:t>
      </w:r>
    </w:p>
    <w:p w14:paraId="59CDD983" w14:textId="26C148FE" w:rsidR="004825C8" w:rsidRPr="005A1836" w:rsidRDefault="004825C8" w:rsidP="00C833F8">
      <w:pPr>
        <w:pStyle w:val="NormalWeb"/>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 xml:space="preserve">مع </w:t>
      </w:r>
      <w:r w:rsidR="00E6719D" w:rsidRPr="005A1836">
        <w:rPr>
          <w:rFonts w:asciiTheme="minorHAnsi" w:eastAsiaTheme="minorHAnsi" w:hAnsiTheme="minorHAnsi" w:cstheme="minorBidi" w:hint="cs"/>
          <w:sz w:val="32"/>
          <w:szCs w:val="32"/>
          <w:rtl/>
          <w:lang w:eastAsia="en-US" w:bidi="ar"/>
        </w:rPr>
        <w:t>ال</w:t>
      </w:r>
      <w:r w:rsidRPr="005A1836">
        <w:rPr>
          <w:rFonts w:asciiTheme="minorHAnsi" w:eastAsiaTheme="minorHAnsi" w:hAnsiTheme="minorHAnsi" w:cstheme="minorBidi"/>
          <w:sz w:val="32"/>
          <w:szCs w:val="32"/>
          <w:rtl/>
          <w:lang w:eastAsia="en-US" w:bidi="ar"/>
        </w:rPr>
        <w:t>تعبئة</w:t>
      </w:r>
      <w:r w:rsidR="00E6719D" w:rsidRPr="005A1836">
        <w:rPr>
          <w:rFonts w:asciiTheme="minorHAnsi" w:eastAsiaTheme="minorHAnsi" w:hAnsiTheme="minorHAnsi" w:cstheme="minorBidi" w:hint="cs"/>
          <w:sz w:val="32"/>
          <w:szCs w:val="32"/>
          <w:rtl/>
          <w:lang w:eastAsia="en-US" w:bidi="ar"/>
        </w:rPr>
        <w:t xml:space="preserve"> التي يقوم بها مركز الابحاث الإحصائية والإقتصادية والإجتماعية والتدريب للدول الإسلامية </w:t>
      </w:r>
      <w:r w:rsidRPr="005A1836">
        <w:rPr>
          <w:rFonts w:asciiTheme="minorHAnsi" w:eastAsiaTheme="minorHAnsi" w:hAnsiTheme="minorHAnsi" w:cstheme="minorBidi"/>
          <w:sz w:val="32"/>
          <w:szCs w:val="32"/>
          <w:rtl/>
          <w:lang w:eastAsia="en-US" w:bidi="ar"/>
        </w:rPr>
        <w:t xml:space="preserve"> SESRIC</w:t>
      </w:r>
      <w:r w:rsidR="00E6719D" w:rsidRPr="005A1836">
        <w:rPr>
          <w:rFonts w:asciiTheme="minorHAnsi" w:eastAsiaTheme="minorHAnsi" w:hAnsiTheme="minorHAnsi" w:cstheme="minorBidi" w:hint="cs"/>
          <w:sz w:val="32"/>
          <w:szCs w:val="32"/>
          <w:rtl/>
          <w:lang w:eastAsia="en-US" w:bidi="ar"/>
        </w:rPr>
        <w:t xml:space="preserve">  </w:t>
      </w:r>
      <w:r w:rsidRPr="005A1836">
        <w:rPr>
          <w:rFonts w:asciiTheme="minorHAnsi" w:eastAsiaTheme="minorHAnsi" w:hAnsiTheme="minorHAnsi" w:cstheme="minorBidi"/>
          <w:sz w:val="32"/>
          <w:szCs w:val="32"/>
          <w:rtl/>
          <w:lang w:eastAsia="en-US" w:bidi="ar"/>
        </w:rPr>
        <w:t xml:space="preserve"> كمؤسسة بحثية رئيسية لمنظمة </w:t>
      </w:r>
      <w:r w:rsidR="00E6719D" w:rsidRPr="005A1836">
        <w:rPr>
          <w:rFonts w:asciiTheme="minorHAnsi" w:eastAsiaTheme="minorHAnsi" w:hAnsiTheme="minorHAnsi" w:cstheme="minorBidi" w:hint="cs"/>
          <w:sz w:val="32"/>
          <w:szCs w:val="32"/>
          <w:rtl/>
          <w:lang w:eastAsia="en-US" w:bidi="ar"/>
        </w:rPr>
        <w:t>التعاون</w:t>
      </w:r>
      <w:r w:rsidRPr="005A1836">
        <w:rPr>
          <w:rFonts w:asciiTheme="minorHAnsi" w:eastAsiaTheme="minorHAnsi" w:hAnsiTheme="minorHAnsi" w:cstheme="minorBidi"/>
          <w:sz w:val="32"/>
          <w:szCs w:val="32"/>
          <w:rtl/>
          <w:lang w:eastAsia="en-US" w:bidi="ar"/>
        </w:rPr>
        <w:t xml:space="preserve"> الإسلامي وكذلك مراكز التميز المحددة في مجال أبحاث زيت النخيل، من الممكن إنشاء شراكة مجزية بين الدول الأعضاء في </w:t>
      </w:r>
      <w:r w:rsidR="00E6719D" w:rsidRPr="005A1836">
        <w:rPr>
          <w:rFonts w:asciiTheme="minorHAnsi" w:eastAsiaTheme="minorHAnsi" w:hAnsiTheme="minorHAnsi" w:cstheme="minorBidi" w:hint="cs"/>
          <w:sz w:val="32"/>
          <w:szCs w:val="32"/>
          <w:rtl/>
          <w:lang w:eastAsia="en-US" w:bidi="ar"/>
        </w:rPr>
        <w:t>المنظمة الإسلامية للأمن الغذائي / منظمة التعاون الإسلامي</w:t>
      </w:r>
      <w:r w:rsidRPr="005A1836">
        <w:rPr>
          <w:rFonts w:asciiTheme="minorHAnsi" w:eastAsiaTheme="minorHAnsi" w:hAnsiTheme="minorHAnsi" w:cstheme="minorBidi"/>
          <w:sz w:val="32"/>
          <w:szCs w:val="32"/>
          <w:rtl/>
          <w:lang w:eastAsia="en-US" w:bidi="ar"/>
        </w:rPr>
        <w:t xml:space="preserve">. ولذلك فإن الغرض من هذه المذكرة </w:t>
      </w:r>
      <w:r w:rsidR="002C1069" w:rsidRPr="005A1836">
        <w:rPr>
          <w:rFonts w:asciiTheme="minorHAnsi" w:eastAsiaTheme="minorHAnsi" w:hAnsiTheme="minorHAnsi" w:cstheme="minorBidi" w:hint="cs"/>
          <w:sz w:val="32"/>
          <w:szCs w:val="32"/>
          <w:rtl/>
          <w:lang w:eastAsia="en-US" w:bidi="ar"/>
        </w:rPr>
        <w:t>التصورية</w:t>
      </w:r>
      <w:r w:rsidRPr="005A1836">
        <w:rPr>
          <w:rFonts w:asciiTheme="minorHAnsi" w:eastAsiaTheme="minorHAnsi" w:hAnsiTheme="minorHAnsi" w:cstheme="minorBidi"/>
          <w:sz w:val="32"/>
          <w:szCs w:val="32"/>
          <w:rtl/>
          <w:lang w:eastAsia="en-US" w:bidi="ar"/>
        </w:rPr>
        <w:t xml:space="preserve"> هو لفت الانتباه إلى ضرورة القيام بعمل مشترك في المجالات التالية:</w:t>
      </w:r>
    </w:p>
    <w:p w14:paraId="3949CB84" w14:textId="77777777" w:rsidR="004825C8" w:rsidRPr="005A1836" w:rsidRDefault="004825C8" w:rsidP="005A1836">
      <w:pPr>
        <w:pStyle w:val="NormalWeb"/>
        <w:numPr>
          <w:ilvl w:val="0"/>
          <w:numId w:val="5"/>
        </w:numPr>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lastRenderedPageBreak/>
        <w:t>تعزيز قدرات المؤسسات البحثية للدول الأعضاء في مجال إنتاج زيت النخيل وتطويره، وكذلك مواجهة الروايات السلبية حول إمكانات القيمة الغذائية لهذا المنتج؛</w:t>
      </w:r>
    </w:p>
    <w:p w14:paraId="5F1154BA" w14:textId="73E17588" w:rsidR="004825C8" w:rsidRPr="005A1836" w:rsidRDefault="004825C8" w:rsidP="005A1836">
      <w:pPr>
        <w:pStyle w:val="NormalWeb"/>
        <w:numPr>
          <w:ilvl w:val="0"/>
          <w:numId w:val="5"/>
        </w:numPr>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 xml:space="preserve">تحسين الربط العكسي بين الدول الأعضاء بغرض </w:t>
      </w:r>
      <w:r w:rsidR="00E6719D" w:rsidRPr="005A1836">
        <w:rPr>
          <w:rFonts w:asciiTheme="minorHAnsi" w:eastAsiaTheme="minorHAnsi" w:hAnsiTheme="minorHAnsi" w:cstheme="minorBidi" w:hint="cs"/>
          <w:sz w:val="32"/>
          <w:szCs w:val="32"/>
          <w:rtl/>
          <w:lang w:eastAsia="en-US" w:bidi="ar"/>
        </w:rPr>
        <w:t>تطوير</w:t>
      </w:r>
      <w:r w:rsidRPr="005A1836">
        <w:rPr>
          <w:rFonts w:asciiTheme="minorHAnsi" w:eastAsiaTheme="minorHAnsi" w:hAnsiTheme="minorHAnsi" w:cstheme="minorBidi"/>
          <w:sz w:val="32"/>
          <w:szCs w:val="32"/>
          <w:rtl/>
          <w:lang w:eastAsia="en-US" w:bidi="ar"/>
        </w:rPr>
        <w:t xml:space="preserve"> قدرات الدول الأعضاء </w:t>
      </w:r>
      <w:r w:rsidR="00E6719D" w:rsidRPr="005A1836">
        <w:rPr>
          <w:rFonts w:asciiTheme="minorHAnsi" w:eastAsiaTheme="minorHAnsi" w:hAnsiTheme="minorHAnsi" w:cstheme="minorBidi" w:hint="cs"/>
          <w:sz w:val="32"/>
          <w:szCs w:val="32"/>
          <w:rtl/>
          <w:lang w:eastAsia="en-US" w:bidi="ar"/>
        </w:rPr>
        <w:t xml:space="preserve">ذات الموارد </w:t>
      </w:r>
      <w:r w:rsidRPr="005A1836">
        <w:rPr>
          <w:rFonts w:asciiTheme="minorHAnsi" w:eastAsiaTheme="minorHAnsi" w:hAnsiTheme="minorHAnsi" w:cstheme="minorBidi"/>
          <w:sz w:val="32"/>
          <w:szCs w:val="32"/>
          <w:rtl/>
          <w:lang w:eastAsia="en-US" w:bidi="ar"/>
        </w:rPr>
        <w:t>الفقيرة ولكن الغنية بالأراضي؛</w:t>
      </w:r>
    </w:p>
    <w:p w14:paraId="36EC523E" w14:textId="7DD70DAD" w:rsidR="004825C8" w:rsidRPr="005A1836" w:rsidRDefault="004825C8" w:rsidP="005A1836">
      <w:pPr>
        <w:pStyle w:val="NormalWeb"/>
        <w:numPr>
          <w:ilvl w:val="0"/>
          <w:numId w:val="5"/>
        </w:numPr>
        <w:bidi/>
        <w:spacing w:line="360" w:lineRule="auto"/>
        <w:jc w:val="both"/>
        <w:rPr>
          <w:rFonts w:asciiTheme="minorHAnsi" w:eastAsiaTheme="minorHAnsi" w:hAnsiTheme="minorHAnsi" w:cstheme="minorBidi"/>
          <w:sz w:val="32"/>
          <w:szCs w:val="32"/>
          <w:lang w:eastAsia="en-US" w:bidi="ar"/>
        </w:rPr>
      </w:pPr>
      <w:r w:rsidRPr="005A1836">
        <w:rPr>
          <w:rFonts w:asciiTheme="minorHAnsi" w:eastAsiaTheme="minorHAnsi" w:hAnsiTheme="minorHAnsi" w:cstheme="minorBidi"/>
          <w:sz w:val="32"/>
          <w:szCs w:val="32"/>
          <w:rtl/>
          <w:lang w:eastAsia="en-US" w:bidi="ar"/>
        </w:rPr>
        <w:t>إنشاء منصة فعالة لاجتماع مراكز التميز لإنتاج وتطوير صناعة زيت النخيل؛</w:t>
      </w:r>
    </w:p>
    <w:p w14:paraId="6B0CE819" w14:textId="0104CC5C" w:rsidR="002C1069" w:rsidRPr="00C833F8" w:rsidRDefault="002C1069" w:rsidP="002C1069">
      <w:pPr>
        <w:pStyle w:val="NormalWeb"/>
        <w:bidi/>
        <w:jc w:val="both"/>
        <w:rPr>
          <w:lang w:val="en-US" w:bidi="ar"/>
        </w:rPr>
      </w:pPr>
    </w:p>
    <w:p w14:paraId="302092E8" w14:textId="6CB08B92" w:rsidR="00C833F8" w:rsidRDefault="00C833F8" w:rsidP="00C833F8">
      <w:pPr>
        <w:pStyle w:val="NormalWeb"/>
        <w:bidi/>
        <w:jc w:val="both"/>
        <w:rPr>
          <w:rtl/>
          <w:lang w:bidi="ar"/>
        </w:rPr>
      </w:pPr>
    </w:p>
    <w:p w14:paraId="4BE75BB5" w14:textId="77777777" w:rsidR="00C833F8" w:rsidRDefault="00C833F8" w:rsidP="00C833F8">
      <w:pPr>
        <w:pStyle w:val="NormalWeb"/>
        <w:bidi/>
        <w:jc w:val="both"/>
        <w:rPr>
          <w:rtl/>
          <w:lang w:bidi="ar"/>
        </w:rPr>
      </w:pPr>
    </w:p>
    <w:p w14:paraId="172E8F06" w14:textId="0EB1D0FA" w:rsidR="004825C8" w:rsidRPr="005A1836" w:rsidRDefault="004825C8" w:rsidP="002C1069">
      <w:pPr>
        <w:pStyle w:val="NormalWeb"/>
        <w:bidi/>
        <w:jc w:val="both"/>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أمانة</w:t>
      </w:r>
      <w:r w:rsidR="002C1069" w:rsidRPr="005A1836">
        <w:rPr>
          <w:rFonts w:asciiTheme="minorHAnsi" w:eastAsiaTheme="minorHAnsi" w:hAnsiTheme="minorHAnsi" w:cstheme="minorBidi" w:hint="cs"/>
          <w:b/>
          <w:bCs/>
          <w:sz w:val="32"/>
          <w:szCs w:val="32"/>
          <w:rtl/>
          <w:lang w:eastAsia="en-US" w:bidi="ar"/>
        </w:rPr>
        <w:t xml:space="preserve"> </w:t>
      </w:r>
      <w:r w:rsidRPr="005A1836">
        <w:rPr>
          <w:rFonts w:asciiTheme="minorHAnsi" w:eastAsiaTheme="minorHAnsi" w:hAnsiTheme="minorHAnsi" w:cstheme="minorBidi"/>
          <w:b/>
          <w:bCs/>
          <w:sz w:val="32"/>
          <w:szCs w:val="32"/>
          <w:rtl/>
          <w:lang w:eastAsia="en-US" w:bidi="ar"/>
        </w:rPr>
        <w:t>المنظم</w:t>
      </w:r>
      <w:bookmarkStart w:id="0" w:name="_GoBack"/>
      <w:bookmarkEnd w:id="0"/>
      <w:r w:rsidRPr="005A1836">
        <w:rPr>
          <w:rFonts w:asciiTheme="minorHAnsi" w:eastAsiaTheme="minorHAnsi" w:hAnsiTheme="minorHAnsi" w:cstheme="minorBidi"/>
          <w:b/>
          <w:bCs/>
          <w:sz w:val="32"/>
          <w:szCs w:val="32"/>
          <w:rtl/>
          <w:lang w:eastAsia="en-US" w:bidi="ar"/>
        </w:rPr>
        <w:t>ة الإسلامية للأمن الغذائي</w:t>
      </w:r>
    </w:p>
    <w:p w14:paraId="70319126" w14:textId="77777777" w:rsidR="004825C8" w:rsidRPr="005A1836" w:rsidRDefault="004825C8" w:rsidP="002C1069">
      <w:pPr>
        <w:pStyle w:val="NormalWeb"/>
        <w:bidi/>
        <w:rPr>
          <w:rFonts w:asciiTheme="minorHAnsi" w:eastAsiaTheme="minorHAnsi" w:hAnsiTheme="minorHAnsi" w:cstheme="minorBidi"/>
          <w:b/>
          <w:bCs/>
          <w:sz w:val="32"/>
          <w:szCs w:val="32"/>
          <w:lang w:eastAsia="en-US" w:bidi="ar"/>
        </w:rPr>
      </w:pPr>
      <w:r w:rsidRPr="005A1836">
        <w:rPr>
          <w:rFonts w:asciiTheme="minorHAnsi" w:eastAsiaTheme="minorHAnsi" w:hAnsiTheme="minorHAnsi" w:cstheme="minorBidi"/>
          <w:b/>
          <w:bCs/>
          <w:sz w:val="32"/>
          <w:szCs w:val="32"/>
          <w:rtl/>
          <w:lang w:eastAsia="en-US" w:bidi="ar"/>
        </w:rPr>
        <w:t>نور سلطان، جمهورية كازاخستان</w:t>
      </w:r>
    </w:p>
    <w:p w14:paraId="70BFE728" w14:textId="77777777" w:rsidR="00133EE6" w:rsidRPr="00673A0D" w:rsidRDefault="00133EE6" w:rsidP="00133EE6">
      <w:pPr>
        <w:pStyle w:val="NormalWeb"/>
        <w:ind w:left="360"/>
        <w:jc w:val="both"/>
        <w:rPr>
          <w:lang w:val="en-US"/>
        </w:rPr>
      </w:pPr>
    </w:p>
    <w:p w14:paraId="66A9A7F3" w14:textId="77777777" w:rsidR="00133EE6" w:rsidRPr="00673A0D" w:rsidRDefault="00133EE6" w:rsidP="007D13EB">
      <w:pPr>
        <w:rPr>
          <w:rFonts w:ascii="Times New Roman" w:hAnsi="Times New Roman" w:cs="Times New Roman"/>
          <w:sz w:val="24"/>
          <w:szCs w:val="24"/>
          <w:lang w:val="en-US"/>
        </w:rPr>
      </w:pPr>
    </w:p>
    <w:p w14:paraId="35CC5B3A" w14:textId="77777777" w:rsidR="007D13EB" w:rsidRPr="00673A0D" w:rsidRDefault="007D13EB" w:rsidP="00024CAE">
      <w:pPr>
        <w:spacing w:after="0" w:line="240" w:lineRule="auto"/>
        <w:ind w:firstLine="709"/>
        <w:jc w:val="both"/>
        <w:rPr>
          <w:rFonts w:ascii="Times New Roman" w:hAnsi="Times New Roman" w:cs="Times New Roman"/>
          <w:sz w:val="24"/>
          <w:szCs w:val="24"/>
          <w:lang w:val="en-US"/>
        </w:rPr>
      </w:pPr>
    </w:p>
    <w:sectPr w:rsidR="007D13EB" w:rsidRPr="00673A0D" w:rsidSect="007C6020">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AB5"/>
    <w:multiLevelType w:val="hybridMultilevel"/>
    <w:tmpl w:val="7C4AAB3A"/>
    <w:lvl w:ilvl="0" w:tplc="23EC8E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401211"/>
    <w:multiLevelType w:val="hybridMultilevel"/>
    <w:tmpl w:val="977CD720"/>
    <w:lvl w:ilvl="0" w:tplc="23EC8E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5377EDF"/>
    <w:multiLevelType w:val="hybridMultilevel"/>
    <w:tmpl w:val="FEB65750"/>
    <w:lvl w:ilvl="0" w:tplc="23EC8E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04665"/>
    <w:rsid w:val="00024CAE"/>
    <w:rsid w:val="00073E41"/>
    <w:rsid w:val="000D263C"/>
    <w:rsid w:val="00102439"/>
    <w:rsid w:val="00133EE6"/>
    <w:rsid w:val="001629DA"/>
    <w:rsid w:val="001C0F59"/>
    <w:rsid w:val="002C1069"/>
    <w:rsid w:val="002D2AF2"/>
    <w:rsid w:val="003075E9"/>
    <w:rsid w:val="00390C92"/>
    <w:rsid w:val="003A59F0"/>
    <w:rsid w:val="00457323"/>
    <w:rsid w:val="004707AD"/>
    <w:rsid w:val="004825C8"/>
    <w:rsid w:val="00491585"/>
    <w:rsid w:val="004A7CB2"/>
    <w:rsid w:val="004E535D"/>
    <w:rsid w:val="005303E6"/>
    <w:rsid w:val="005A1836"/>
    <w:rsid w:val="005D0611"/>
    <w:rsid w:val="005F6872"/>
    <w:rsid w:val="0060788F"/>
    <w:rsid w:val="00631AC1"/>
    <w:rsid w:val="00673A0D"/>
    <w:rsid w:val="006E7817"/>
    <w:rsid w:val="0074690D"/>
    <w:rsid w:val="007C6020"/>
    <w:rsid w:val="007D13EB"/>
    <w:rsid w:val="008330EF"/>
    <w:rsid w:val="008542B2"/>
    <w:rsid w:val="00856734"/>
    <w:rsid w:val="00863E6A"/>
    <w:rsid w:val="008922CD"/>
    <w:rsid w:val="008C1B70"/>
    <w:rsid w:val="008C6219"/>
    <w:rsid w:val="00900CD8"/>
    <w:rsid w:val="00934155"/>
    <w:rsid w:val="00960358"/>
    <w:rsid w:val="009714E4"/>
    <w:rsid w:val="00A556CE"/>
    <w:rsid w:val="00A86C01"/>
    <w:rsid w:val="00AC5899"/>
    <w:rsid w:val="00B21F52"/>
    <w:rsid w:val="00B27201"/>
    <w:rsid w:val="00B6314C"/>
    <w:rsid w:val="00BB113C"/>
    <w:rsid w:val="00C10276"/>
    <w:rsid w:val="00C17A17"/>
    <w:rsid w:val="00C55290"/>
    <w:rsid w:val="00C623E0"/>
    <w:rsid w:val="00C66199"/>
    <w:rsid w:val="00C666E8"/>
    <w:rsid w:val="00C833F8"/>
    <w:rsid w:val="00C83B25"/>
    <w:rsid w:val="00CC07A5"/>
    <w:rsid w:val="00D01C1C"/>
    <w:rsid w:val="00DE4EDA"/>
    <w:rsid w:val="00E6719D"/>
    <w:rsid w:val="00E9052F"/>
    <w:rsid w:val="00EC0A3A"/>
    <w:rsid w:val="00F4354B"/>
    <w:rsid w:val="00F70A2B"/>
    <w:rsid w:val="00F774AD"/>
    <w:rsid w:val="00F876F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B21F52"/>
    <w:pPr>
      <w:ind w:left="720"/>
      <w:contextualSpacing/>
    </w:pPr>
  </w:style>
  <w:style w:type="table" w:styleId="TableGrid">
    <w:name w:val="Table Grid"/>
    <w:basedOn w:val="TableNormal"/>
    <w:uiPriority w:val="39"/>
    <w:rsid w:val="0096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515274064">
      <w:bodyDiv w:val="1"/>
      <w:marLeft w:val="0"/>
      <w:marRight w:val="0"/>
      <w:marTop w:val="0"/>
      <w:marBottom w:val="0"/>
      <w:divBdr>
        <w:top w:val="none" w:sz="0" w:space="0" w:color="auto"/>
        <w:left w:val="none" w:sz="0" w:space="0" w:color="auto"/>
        <w:bottom w:val="none" w:sz="0" w:space="0" w:color="auto"/>
        <w:right w:val="none" w:sz="0" w:space="0" w:color="auto"/>
      </w:divBdr>
    </w:div>
    <w:div w:id="82320314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 w:id="1038775523">
      <w:bodyDiv w:val="1"/>
      <w:marLeft w:val="0"/>
      <w:marRight w:val="0"/>
      <w:marTop w:val="0"/>
      <w:marBottom w:val="0"/>
      <w:divBdr>
        <w:top w:val="none" w:sz="0" w:space="0" w:color="auto"/>
        <w:left w:val="none" w:sz="0" w:space="0" w:color="auto"/>
        <w:bottom w:val="none" w:sz="0" w:space="0" w:color="auto"/>
        <w:right w:val="none" w:sz="0" w:space="0" w:color="auto"/>
      </w:divBdr>
    </w:div>
    <w:div w:id="18752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4D60-45CC-B593-163DB2564336}"/>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4D60-45CC-B593-163DB2564336}"/>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4D60-45CC-B593-163DB2564336}"/>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4D60-45CC-B593-163DB256433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Лист1!$A$3:$A$6</c:f>
              <c:strCache>
                <c:ptCount val="4"/>
                <c:pt idx="0">
                  <c:v>Palm oil</c:v>
                </c:pt>
                <c:pt idx="1">
                  <c:v>Rapeseed oil</c:v>
                </c:pt>
                <c:pt idx="2">
                  <c:v>Soybean oil</c:v>
                </c:pt>
                <c:pt idx="3">
                  <c:v>Sunflower oil</c:v>
                </c:pt>
              </c:strCache>
            </c:strRef>
          </c:cat>
          <c:val>
            <c:numRef>
              <c:f>Лист1!$B$3:$B$6</c:f>
              <c:numCache>
                <c:formatCode>0%</c:formatCode>
                <c:ptCount val="4"/>
                <c:pt idx="0">
                  <c:v>0.22</c:v>
                </c:pt>
                <c:pt idx="1">
                  <c:v>0.19</c:v>
                </c:pt>
                <c:pt idx="2">
                  <c:v>0.59</c:v>
                </c:pt>
                <c:pt idx="3">
                  <c:v>0</c:v>
                </c:pt>
              </c:numCache>
            </c:numRef>
          </c:val>
          <c:extLst>
            <c:ext xmlns:c16="http://schemas.microsoft.com/office/drawing/2014/chart" uri="{C3380CC4-5D6E-409C-BE32-E72D297353CC}">
              <c16:uniqueId val="{00000008-4D60-45CC-B593-163DB2564336}"/>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689A-4B48-9061-313C0768C456}"/>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689A-4B48-9061-313C0768C456}"/>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689A-4B48-9061-313C0768C456}"/>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689A-4B48-9061-313C0768C45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Лист1!$A$13:$A$16</c:f>
              <c:strCache>
                <c:ptCount val="4"/>
                <c:pt idx="0">
                  <c:v>Palm oil</c:v>
                </c:pt>
                <c:pt idx="1">
                  <c:v>Rapeseed oil</c:v>
                </c:pt>
                <c:pt idx="2">
                  <c:v>Soybean oil</c:v>
                </c:pt>
                <c:pt idx="3">
                  <c:v>Sunflower oil</c:v>
                </c:pt>
              </c:strCache>
            </c:strRef>
          </c:cat>
          <c:val>
            <c:numRef>
              <c:f>Лист1!$B$13:$B$16</c:f>
              <c:numCache>
                <c:formatCode>0%</c:formatCode>
                <c:ptCount val="4"/>
                <c:pt idx="0">
                  <c:v>0.26</c:v>
                </c:pt>
                <c:pt idx="1">
                  <c:v>0.13</c:v>
                </c:pt>
                <c:pt idx="2">
                  <c:v>0.53</c:v>
                </c:pt>
                <c:pt idx="3">
                  <c:v>0.08</c:v>
                </c:pt>
              </c:numCache>
            </c:numRef>
          </c:val>
          <c:extLst>
            <c:ext xmlns:c16="http://schemas.microsoft.com/office/drawing/2014/chart" uri="{C3380CC4-5D6E-409C-BE32-E72D297353CC}">
              <c16:uniqueId val="{00000008-689A-4B48-9061-313C0768C456}"/>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2009456264775412E-2"/>
          <c:y val="8.0365273687765096E-2"/>
          <c:w val="0.6264686063178273"/>
          <c:h val="0.91963472631223486"/>
        </c:manualLayout>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142A-49F7-A7DD-BB68A8979DA9}"/>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142A-49F7-A7DD-BB68A8979DA9}"/>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142A-49F7-A7DD-BB68A8979DA9}"/>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142A-49F7-A7DD-BB68A8979DA9}"/>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Лист1!$A$28:$A$31</c:f>
              <c:strCache>
                <c:ptCount val="4"/>
                <c:pt idx="0">
                  <c:v>Palm oil</c:v>
                </c:pt>
                <c:pt idx="1">
                  <c:v>Rapeseed oil</c:v>
                </c:pt>
                <c:pt idx="2">
                  <c:v>Soybean oil</c:v>
                </c:pt>
                <c:pt idx="3">
                  <c:v>Sunflower oil</c:v>
                </c:pt>
              </c:strCache>
            </c:strRef>
          </c:cat>
          <c:val>
            <c:numRef>
              <c:f>Лист1!$B$28:$B$31</c:f>
              <c:numCache>
                <c:formatCode>0%</c:formatCode>
                <c:ptCount val="4"/>
                <c:pt idx="0">
                  <c:v>0.4</c:v>
                </c:pt>
                <c:pt idx="1">
                  <c:v>0.16</c:v>
                </c:pt>
                <c:pt idx="2">
                  <c:v>0.33</c:v>
                </c:pt>
                <c:pt idx="3">
                  <c:v>0.1</c:v>
                </c:pt>
              </c:numCache>
            </c:numRef>
          </c:val>
          <c:extLst>
            <c:ext xmlns:c16="http://schemas.microsoft.com/office/drawing/2014/chart" uri="{C3380CC4-5D6E-409C-BE32-E72D297353CC}">
              <c16:uniqueId val="{00000008-142A-49F7-A7DD-BB68A8979DA9}"/>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7374993019489582"/>
          <c:y val="8.4646666002192755E-2"/>
          <c:w val="0.29788127547886306"/>
          <c:h val="0.7203780856506860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260DD-FEDC-4412-819C-306E7E2F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1062</Words>
  <Characters>6058</Characters>
  <Application>Microsoft Office Word</Application>
  <DocSecurity>0</DocSecurity>
  <Lines>50</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Dr. Ismail Abdelhamid</cp:lastModifiedBy>
  <cp:revision>3</cp:revision>
  <cp:lastPrinted>2019-09-17T11:34:00Z</cp:lastPrinted>
  <dcterms:created xsi:type="dcterms:W3CDTF">2020-03-19T06:52:00Z</dcterms:created>
  <dcterms:modified xsi:type="dcterms:W3CDTF">2020-03-20T09:24:00Z</dcterms:modified>
</cp:coreProperties>
</file>