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AEEDA" w14:textId="353C5AF1" w:rsidR="0074690D" w:rsidRPr="00061248" w:rsidRDefault="00A34CA4" w:rsidP="00102439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 w:rsidRPr="00061248">
        <w:rPr>
          <w:rFonts w:ascii="Times New Roman" w:hAnsi="Times New Roman" w:cs="Times New Roman"/>
          <w:b/>
          <w:bCs/>
          <w:noProof/>
          <w:sz w:val="24"/>
          <w:szCs w:val="24"/>
          <w:lang w:val="en-GB"/>
        </w:rPr>
        <w:drawing>
          <wp:anchor distT="0" distB="0" distL="114300" distR="114300" simplePos="0" relativeHeight="251658240" behindDoc="0" locked="0" layoutInCell="1" allowOverlap="1" wp14:anchorId="63CB994B" wp14:editId="473B818D">
            <wp:simplePos x="0" y="0"/>
            <wp:positionH relativeFrom="margin">
              <wp:posOffset>2008122</wp:posOffset>
            </wp:positionH>
            <wp:positionV relativeFrom="paragraph">
              <wp:posOffset>-400913</wp:posOffset>
            </wp:positionV>
            <wp:extent cx="1440611" cy="1440611"/>
            <wp:effectExtent l="0" t="0" r="7620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245" cy="145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13B13C" w14:textId="39EF87DF" w:rsidR="00102439" w:rsidRPr="00061248" w:rsidRDefault="00102439" w:rsidP="00102439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54413385" w14:textId="0D4C3715" w:rsidR="00102439" w:rsidRPr="00061248" w:rsidRDefault="00102439" w:rsidP="00C623E0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61D170C8" w14:textId="46FF5FD9" w:rsidR="00102439" w:rsidRDefault="00102439" w:rsidP="00C17A17">
      <w:pPr>
        <w:tabs>
          <w:tab w:val="left" w:pos="5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14:paraId="4E0CD3CF" w14:textId="77777777" w:rsidR="004000FA" w:rsidRPr="00061248" w:rsidRDefault="004000FA" w:rsidP="00C17A17">
      <w:pPr>
        <w:tabs>
          <w:tab w:val="left" w:pos="5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14:paraId="559A238D" w14:textId="714E9935" w:rsidR="00133EE6" w:rsidRPr="00061248" w:rsidRDefault="00133EE6" w:rsidP="00133EE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061248">
        <w:rPr>
          <w:rFonts w:ascii="Times New Roman" w:hAnsi="Times New Roman" w:cs="Times New Roman"/>
          <w:b/>
          <w:bCs/>
          <w:sz w:val="28"/>
          <w:szCs w:val="28"/>
          <w:lang w:val="en-GB"/>
        </w:rPr>
        <w:t>CONCEPT NOTE ON</w:t>
      </w:r>
    </w:p>
    <w:p w14:paraId="33D083CD" w14:textId="165CECB0" w:rsidR="00133EE6" w:rsidRPr="00061248" w:rsidRDefault="003E0444" w:rsidP="00133EE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06124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THE ROLE OF </w:t>
      </w:r>
      <w:r w:rsidR="00537251" w:rsidRPr="0006124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REGIONAL </w:t>
      </w:r>
      <w:r w:rsidRPr="00061248">
        <w:rPr>
          <w:rFonts w:ascii="Times New Roman" w:hAnsi="Times New Roman" w:cs="Times New Roman"/>
          <w:b/>
          <w:bCs/>
          <w:sz w:val="28"/>
          <w:szCs w:val="28"/>
          <w:lang w:val="en-GB"/>
        </w:rPr>
        <w:t>CENTRES OF EXCELLENCE</w:t>
      </w:r>
    </w:p>
    <w:p w14:paraId="7CE9521C" w14:textId="488853E4" w:rsidR="007D13EB" w:rsidRPr="00061248" w:rsidRDefault="007D13EB" w:rsidP="007D13EB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9A21ABE" w14:textId="56DC5B3A" w:rsidR="00133EE6" w:rsidRPr="00061248" w:rsidRDefault="00133EE6" w:rsidP="00FE12C2">
      <w:pPr>
        <w:pStyle w:val="NormalWeb"/>
        <w:numPr>
          <w:ilvl w:val="0"/>
          <w:numId w:val="9"/>
        </w:numPr>
        <w:jc w:val="both"/>
        <w:rPr>
          <w:b/>
          <w:bCs/>
          <w:sz w:val="26"/>
          <w:szCs w:val="26"/>
          <w:lang w:val="en-GB"/>
        </w:rPr>
      </w:pPr>
      <w:r w:rsidRPr="00061248">
        <w:rPr>
          <w:b/>
          <w:bCs/>
          <w:sz w:val="26"/>
          <w:szCs w:val="26"/>
          <w:lang w:val="en-GB"/>
        </w:rPr>
        <w:t>Introduction</w:t>
      </w:r>
    </w:p>
    <w:p w14:paraId="3E13C6E0" w14:textId="77777777" w:rsidR="00642383" w:rsidRPr="00061248" w:rsidRDefault="00074032" w:rsidP="00A46701">
      <w:pPr>
        <w:pStyle w:val="NormalWeb"/>
        <w:jc w:val="both"/>
        <w:rPr>
          <w:sz w:val="26"/>
          <w:szCs w:val="26"/>
          <w:lang w:val="en-GB"/>
        </w:rPr>
      </w:pPr>
      <w:r w:rsidRPr="00061248">
        <w:rPr>
          <w:sz w:val="26"/>
          <w:szCs w:val="26"/>
          <w:lang w:val="en-GB"/>
        </w:rPr>
        <w:t xml:space="preserve">One of the major planks of intra-OIC cooperation in the relevant socio-economic domains is the mainstreaming of the role of </w:t>
      </w:r>
      <w:r w:rsidR="00AF60B0" w:rsidRPr="00061248">
        <w:rPr>
          <w:sz w:val="26"/>
          <w:szCs w:val="26"/>
          <w:lang w:val="en-GB"/>
        </w:rPr>
        <w:t>Centr</w:t>
      </w:r>
      <w:r w:rsidR="00A46701" w:rsidRPr="00061248">
        <w:rPr>
          <w:sz w:val="26"/>
          <w:szCs w:val="26"/>
          <w:lang w:val="en-GB"/>
        </w:rPr>
        <w:t>es</w:t>
      </w:r>
      <w:r w:rsidR="00AF60B0" w:rsidRPr="00061248">
        <w:rPr>
          <w:sz w:val="26"/>
          <w:szCs w:val="26"/>
          <w:lang w:val="en-GB"/>
        </w:rPr>
        <w:t xml:space="preserve"> of Excellence </w:t>
      </w:r>
      <w:r w:rsidRPr="00061248">
        <w:rPr>
          <w:sz w:val="26"/>
          <w:szCs w:val="26"/>
          <w:lang w:val="en-GB"/>
        </w:rPr>
        <w:t>for the purpose of building technical and industrial capacities of member-states’ institutions with a view to attaining desired developmental objectives. Essentially, the pooling of resources in the technological and scientific sectors would promote efficiency and cost-effectiveness</w:t>
      </w:r>
      <w:r w:rsidR="00642383" w:rsidRPr="00061248">
        <w:rPr>
          <w:sz w:val="26"/>
          <w:szCs w:val="26"/>
          <w:lang w:val="en-GB"/>
        </w:rPr>
        <w:t>, thereby providing quick-wins towards rewarding multilateral cooperation among member states.</w:t>
      </w:r>
    </w:p>
    <w:p w14:paraId="0B27F5AA" w14:textId="7E5D1525" w:rsidR="00642383" w:rsidRPr="00061248" w:rsidRDefault="00642383" w:rsidP="00A46701">
      <w:pPr>
        <w:pStyle w:val="NormalWeb"/>
        <w:jc w:val="both"/>
        <w:rPr>
          <w:sz w:val="26"/>
          <w:szCs w:val="26"/>
          <w:lang w:val="en-GB"/>
        </w:rPr>
      </w:pPr>
      <w:r w:rsidRPr="00061248">
        <w:rPr>
          <w:sz w:val="26"/>
          <w:szCs w:val="26"/>
          <w:lang w:val="en-GB"/>
        </w:rPr>
        <w:t xml:space="preserve">Considering the need to promote technological development in the domain of agriculture, rural development and food security, the creation of a platform for knowledge-sharing among the various training and research institutions in OIC/IOFS member states has become very crucial. </w:t>
      </w:r>
      <w:r w:rsidR="004D3579" w:rsidRPr="00061248">
        <w:rPr>
          <w:sz w:val="26"/>
          <w:szCs w:val="26"/>
          <w:lang w:val="en-GB"/>
        </w:rPr>
        <w:t>Essentially, t</w:t>
      </w:r>
      <w:r w:rsidRPr="00061248">
        <w:rPr>
          <w:sz w:val="26"/>
          <w:szCs w:val="26"/>
          <w:lang w:val="en-GB"/>
        </w:rPr>
        <w:t>his training methodology would add value to the current programme of OIC/IOFS on the development of strategic agricultural commodities (Wheat, Cassava and Rice)</w:t>
      </w:r>
      <w:r w:rsidR="004D3579" w:rsidRPr="00061248">
        <w:rPr>
          <w:sz w:val="26"/>
          <w:szCs w:val="26"/>
          <w:lang w:val="en-GB"/>
        </w:rPr>
        <w:t xml:space="preserve"> in their member states</w:t>
      </w:r>
      <w:r w:rsidRPr="00061248">
        <w:rPr>
          <w:sz w:val="26"/>
          <w:szCs w:val="26"/>
          <w:lang w:val="en-GB"/>
        </w:rPr>
        <w:t>.</w:t>
      </w:r>
    </w:p>
    <w:p w14:paraId="0B164B6B" w14:textId="58A64468" w:rsidR="004D3579" w:rsidRPr="00061248" w:rsidRDefault="00642383" w:rsidP="00A46701">
      <w:pPr>
        <w:pStyle w:val="NormalWeb"/>
        <w:jc w:val="both"/>
        <w:rPr>
          <w:sz w:val="26"/>
          <w:szCs w:val="26"/>
          <w:lang w:val="en-GB"/>
        </w:rPr>
      </w:pPr>
      <w:r w:rsidRPr="00061248">
        <w:rPr>
          <w:sz w:val="26"/>
          <w:szCs w:val="26"/>
          <w:lang w:val="en-GB"/>
        </w:rPr>
        <w:t xml:space="preserve">In this regard and taking into consideration the existence of numerous research institutions in the development of these three strategic commodities in OIC/IOFS member states, regional </w:t>
      </w:r>
      <w:proofErr w:type="spellStart"/>
      <w:r w:rsidRPr="00061248">
        <w:rPr>
          <w:sz w:val="26"/>
          <w:szCs w:val="26"/>
          <w:lang w:val="en-GB"/>
        </w:rPr>
        <w:t>centers</w:t>
      </w:r>
      <w:proofErr w:type="spellEnd"/>
      <w:r w:rsidRPr="00061248">
        <w:rPr>
          <w:sz w:val="26"/>
          <w:szCs w:val="26"/>
          <w:lang w:val="en-GB"/>
        </w:rPr>
        <w:t xml:space="preserve"> of excellence shall be</w:t>
      </w:r>
      <w:r w:rsidR="00CC237A" w:rsidRPr="00061248">
        <w:rPr>
          <w:sz w:val="26"/>
          <w:szCs w:val="26"/>
          <w:lang w:val="en-GB"/>
        </w:rPr>
        <w:t xml:space="preserve"> designated in key regions on each of the selected three commodities. These </w:t>
      </w:r>
      <w:proofErr w:type="spellStart"/>
      <w:r w:rsidR="00CC237A" w:rsidRPr="00061248">
        <w:rPr>
          <w:sz w:val="26"/>
          <w:szCs w:val="26"/>
          <w:lang w:val="en-GB"/>
        </w:rPr>
        <w:t>centers</w:t>
      </w:r>
      <w:proofErr w:type="spellEnd"/>
      <w:r w:rsidR="00CC237A" w:rsidRPr="00061248">
        <w:rPr>
          <w:sz w:val="26"/>
          <w:szCs w:val="26"/>
          <w:lang w:val="en-GB"/>
        </w:rPr>
        <w:t xml:space="preserve"> would in turn operate to conduct and coordinate training and research programmes among member states in their respective regions. When required, a central meeting of all regional Centr</w:t>
      </w:r>
      <w:r w:rsidR="00FE12C2" w:rsidRPr="00061248">
        <w:rPr>
          <w:sz w:val="26"/>
          <w:szCs w:val="26"/>
          <w:lang w:val="en-GB"/>
        </w:rPr>
        <w:t>e</w:t>
      </w:r>
      <w:r w:rsidR="00CC237A" w:rsidRPr="00061248">
        <w:rPr>
          <w:sz w:val="26"/>
          <w:szCs w:val="26"/>
          <w:lang w:val="en-GB"/>
        </w:rPr>
        <w:t xml:space="preserve">s of Excellence would be convened to discuss </w:t>
      </w:r>
      <w:r w:rsidR="004D3579" w:rsidRPr="00061248">
        <w:rPr>
          <w:sz w:val="26"/>
          <w:szCs w:val="26"/>
          <w:lang w:val="en-GB"/>
        </w:rPr>
        <w:t>policy coordination and related matters.</w:t>
      </w:r>
    </w:p>
    <w:p w14:paraId="353779ED" w14:textId="77777777" w:rsidR="00FE12C2" w:rsidRPr="00061248" w:rsidRDefault="00FE12C2" w:rsidP="00A46701">
      <w:pPr>
        <w:pStyle w:val="NormalWeb"/>
        <w:jc w:val="both"/>
        <w:rPr>
          <w:sz w:val="26"/>
          <w:szCs w:val="26"/>
          <w:lang w:val="en-GB"/>
        </w:rPr>
      </w:pPr>
    </w:p>
    <w:p w14:paraId="667D1386" w14:textId="77777777" w:rsidR="00FE12C2" w:rsidRPr="00061248" w:rsidRDefault="00FE12C2" w:rsidP="00FE12C2">
      <w:pPr>
        <w:pStyle w:val="NormalWeb"/>
        <w:numPr>
          <w:ilvl w:val="0"/>
          <w:numId w:val="9"/>
        </w:numPr>
        <w:jc w:val="both"/>
        <w:rPr>
          <w:b/>
          <w:bCs/>
          <w:sz w:val="26"/>
          <w:szCs w:val="26"/>
          <w:lang w:val="en-GB"/>
        </w:rPr>
      </w:pPr>
      <w:r w:rsidRPr="00061248">
        <w:rPr>
          <w:b/>
          <w:bCs/>
          <w:sz w:val="26"/>
          <w:szCs w:val="26"/>
          <w:lang w:val="en-GB"/>
        </w:rPr>
        <w:t>Role of Regional Centres of Excellence:</w:t>
      </w:r>
    </w:p>
    <w:p w14:paraId="6762DF1C" w14:textId="456468E8" w:rsidR="00FE12C2" w:rsidRPr="00061248" w:rsidRDefault="00FE12C2" w:rsidP="00FE12C2">
      <w:pPr>
        <w:pStyle w:val="NormalWeb"/>
        <w:jc w:val="both"/>
        <w:rPr>
          <w:b/>
          <w:bCs/>
          <w:sz w:val="26"/>
          <w:szCs w:val="26"/>
          <w:lang w:val="en-GB"/>
        </w:rPr>
      </w:pPr>
      <w:r w:rsidRPr="00061248">
        <w:rPr>
          <w:b/>
          <w:bCs/>
          <w:sz w:val="26"/>
          <w:szCs w:val="26"/>
          <w:lang w:val="en-GB"/>
        </w:rPr>
        <w:t>The role of Regional Centres of Excellence shall, inter alia, include:</w:t>
      </w:r>
    </w:p>
    <w:p w14:paraId="5716106F" w14:textId="38195D48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 xml:space="preserve">Building human and technological capacities in the field of production and development of strategic agricultural commodities along their entire value chain; </w:t>
      </w:r>
    </w:p>
    <w:p w14:paraId="0481554F" w14:textId="77777777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>Promoting dialogue that leads to the sharing of science, innovation and best practices;</w:t>
      </w:r>
    </w:p>
    <w:p w14:paraId="70B26926" w14:textId="77777777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lastRenderedPageBreak/>
        <w:t xml:space="preserve">Achieving a model of sustainable development that includes regulatory relevancy of materials and ensures continued value to all participants; </w:t>
      </w:r>
    </w:p>
    <w:p w14:paraId="0778D284" w14:textId="77777777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>Leveraging on existing work that has a level of convergence;</w:t>
      </w:r>
    </w:p>
    <w:p w14:paraId="4130C13C" w14:textId="77777777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>Conducting trainings and workshops within the Regional Centres of Excellence in new/improved technologies in rice, cassava and wheat production, post-harvest and processing activities;</w:t>
      </w:r>
    </w:p>
    <w:p w14:paraId="5A8C9C5D" w14:textId="69B0B8B1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>Enhancing capacity-building of field and extension workers for effective use of new technologies in production of strategic agricultural commodities;</w:t>
      </w:r>
    </w:p>
    <w:p w14:paraId="5F577B64" w14:textId="3BAA3C30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 xml:space="preserve">Intensifying activities aimed at </w:t>
      </w:r>
      <w:proofErr w:type="gramStart"/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>developing  experience</w:t>
      </w:r>
      <w:proofErr w:type="gramEnd"/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 xml:space="preserve"> and expertise in scientific and technologic area for natural breeding of nutritionally valuable and climate-resilient crops with emphasis on avoidance of genetically modified and non-nutritious products;</w:t>
      </w:r>
    </w:p>
    <w:p w14:paraId="3A25A2D7" w14:textId="77777777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color w:val="000000"/>
          <w:sz w:val="26"/>
          <w:szCs w:val="26"/>
          <w:lang w:val="en-GB"/>
        </w:rPr>
        <w:t xml:space="preserve">Elaborating and mainstreaming R&amp;D programmes and their utilisation for facilitating strategic commodities -related researches; </w:t>
      </w:r>
    </w:p>
    <w:p w14:paraId="50E4E114" w14:textId="77777777" w:rsidR="00FE12C2" w:rsidRPr="00061248" w:rsidRDefault="00FE12C2" w:rsidP="00FE12C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sz w:val="26"/>
          <w:szCs w:val="26"/>
          <w:lang w:val="en-GB"/>
        </w:rPr>
        <w:t>Enhancing capacity-building initiatives and develop a viable programme for R&amp;D to employ newer technologies for increased productivity, and new variety development.</w:t>
      </w:r>
    </w:p>
    <w:p w14:paraId="779BA756" w14:textId="77777777" w:rsidR="00FE12C2" w:rsidRPr="00061248" w:rsidRDefault="00FE12C2" w:rsidP="00FE12C2">
      <w:pPr>
        <w:pStyle w:val="NormalWeb"/>
        <w:jc w:val="both"/>
        <w:rPr>
          <w:sz w:val="26"/>
          <w:szCs w:val="26"/>
          <w:lang w:val="en-GB"/>
        </w:rPr>
      </w:pPr>
      <w:r w:rsidRPr="00061248">
        <w:rPr>
          <w:sz w:val="26"/>
          <w:szCs w:val="26"/>
          <w:lang w:val="en-GB"/>
        </w:rPr>
        <w:t xml:space="preserve">The above objectives will be achieved through the provision of </w:t>
      </w:r>
      <w:proofErr w:type="gramStart"/>
      <w:r w:rsidRPr="00061248">
        <w:rPr>
          <w:sz w:val="26"/>
          <w:szCs w:val="26"/>
          <w:lang w:val="en-GB"/>
        </w:rPr>
        <w:t>high quality</w:t>
      </w:r>
      <w:proofErr w:type="gramEnd"/>
      <w:r w:rsidRPr="00061248">
        <w:rPr>
          <w:sz w:val="26"/>
          <w:szCs w:val="26"/>
          <w:lang w:val="en-GB"/>
        </w:rPr>
        <w:t xml:space="preserve"> training programmes through partnerships with academia, regulators and the </w:t>
      </w:r>
      <w:proofErr w:type="spellStart"/>
      <w:r w:rsidRPr="00061248">
        <w:rPr>
          <w:sz w:val="26"/>
          <w:szCs w:val="26"/>
          <w:lang w:val="en-GB"/>
        </w:rPr>
        <w:t>agro</w:t>
      </w:r>
      <w:proofErr w:type="spellEnd"/>
      <w:r w:rsidRPr="00061248">
        <w:rPr>
          <w:sz w:val="26"/>
          <w:szCs w:val="26"/>
          <w:lang w:val="en-GB"/>
        </w:rPr>
        <w:t>-food industry.</w:t>
      </w:r>
    </w:p>
    <w:p w14:paraId="7C441BBE" w14:textId="6EAC63C9" w:rsidR="00AA0921" w:rsidRPr="00061248" w:rsidRDefault="00AA0921" w:rsidP="00133EE6">
      <w:pPr>
        <w:pStyle w:val="NormalWeb"/>
        <w:jc w:val="both"/>
        <w:rPr>
          <w:sz w:val="26"/>
          <w:szCs w:val="26"/>
          <w:lang w:val="en-GB"/>
        </w:rPr>
      </w:pPr>
    </w:p>
    <w:p w14:paraId="0C191CC3" w14:textId="03C86D95" w:rsidR="004D3579" w:rsidRPr="00061248" w:rsidRDefault="004D3579" w:rsidP="00FE12C2">
      <w:pPr>
        <w:pStyle w:val="NormalWeb"/>
        <w:numPr>
          <w:ilvl w:val="0"/>
          <w:numId w:val="9"/>
        </w:numPr>
        <w:jc w:val="both"/>
        <w:rPr>
          <w:b/>
          <w:bCs/>
          <w:sz w:val="26"/>
          <w:szCs w:val="26"/>
          <w:lang w:val="en-GB"/>
        </w:rPr>
      </w:pPr>
      <w:r w:rsidRPr="00061248">
        <w:rPr>
          <w:b/>
          <w:bCs/>
          <w:sz w:val="26"/>
          <w:szCs w:val="26"/>
          <w:lang w:val="en-GB"/>
        </w:rPr>
        <w:t xml:space="preserve">Structure of </w:t>
      </w:r>
      <w:r w:rsidR="008359FD" w:rsidRPr="00061248">
        <w:rPr>
          <w:b/>
          <w:bCs/>
          <w:sz w:val="26"/>
          <w:szCs w:val="26"/>
          <w:lang w:val="en-GB"/>
        </w:rPr>
        <w:t xml:space="preserve">Regional </w:t>
      </w:r>
      <w:r w:rsidRPr="00061248">
        <w:rPr>
          <w:b/>
          <w:bCs/>
          <w:sz w:val="26"/>
          <w:szCs w:val="26"/>
          <w:lang w:val="en-GB"/>
        </w:rPr>
        <w:t>Centr</w:t>
      </w:r>
      <w:r w:rsidR="00FE12C2" w:rsidRPr="00061248">
        <w:rPr>
          <w:b/>
          <w:bCs/>
          <w:sz w:val="26"/>
          <w:szCs w:val="26"/>
          <w:lang w:val="en-GB"/>
        </w:rPr>
        <w:t>e</w:t>
      </w:r>
      <w:r w:rsidRPr="00061248">
        <w:rPr>
          <w:b/>
          <w:bCs/>
          <w:sz w:val="26"/>
          <w:szCs w:val="26"/>
          <w:lang w:val="en-GB"/>
        </w:rPr>
        <w:t>s of Excellence</w:t>
      </w:r>
    </w:p>
    <w:p w14:paraId="177FE257" w14:textId="5F40E3D3" w:rsidR="004D3579" w:rsidRPr="00061248" w:rsidRDefault="008359FD" w:rsidP="00133EE6">
      <w:pPr>
        <w:pStyle w:val="NormalWeb"/>
        <w:jc w:val="both"/>
        <w:rPr>
          <w:sz w:val="26"/>
          <w:szCs w:val="26"/>
          <w:lang w:val="en-GB"/>
        </w:rPr>
      </w:pPr>
      <w:r w:rsidRPr="00061248">
        <w:rPr>
          <w:sz w:val="26"/>
          <w:szCs w:val="26"/>
          <w:lang w:val="en-GB"/>
        </w:rPr>
        <w:t>Regional Centr</w:t>
      </w:r>
      <w:r w:rsidR="00FE12C2" w:rsidRPr="00061248">
        <w:rPr>
          <w:sz w:val="26"/>
          <w:szCs w:val="26"/>
          <w:lang w:val="en-GB"/>
        </w:rPr>
        <w:t>e</w:t>
      </w:r>
      <w:r w:rsidRPr="00061248">
        <w:rPr>
          <w:sz w:val="26"/>
          <w:szCs w:val="26"/>
          <w:lang w:val="en-GB"/>
        </w:rPr>
        <w:t xml:space="preserve">s of Excellence shall be designated, in accordance with the identified developmental needs of countries within a target group of countries within a given regional group and based on their comparative advantages in the production and utilization of any of the three strategic commodities. Consultation with all identified institutions in OIC/IOFS member states would be undertaken to agree on </w:t>
      </w:r>
      <w:r w:rsidR="00537251" w:rsidRPr="00061248">
        <w:rPr>
          <w:sz w:val="26"/>
          <w:szCs w:val="26"/>
          <w:lang w:val="en-GB"/>
        </w:rPr>
        <w:t>designation of Regional Centr</w:t>
      </w:r>
      <w:r w:rsidR="00FE12C2" w:rsidRPr="00061248">
        <w:rPr>
          <w:sz w:val="26"/>
          <w:szCs w:val="26"/>
          <w:lang w:val="en-GB"/>
        </w:rPr>
        <w:t>e</w:t>
      </w:r>
      <w:r w:rsidR="00537251" w:rsidRPr="00061248">
        <w:rPr>
          <w:sz w:val="26"/>
          <w:szCs w:val="26"/>
          <w:lang w:val="en-GB"/>
        </w:rPr>
        <w:t>s. Such criteria as the research capabilities, size and centrality of location shall be taken into consideration. Centr</w:t>
      </w:r>
      <w:r w:rsidR="00FE12C2" w:rsidRPr="00061248">
        <w:rPr>
          <w:sz w:val="26"/>
          <w:szCs w:val="26"/>
          <w:lang w:val="en-GB"/>
        </w:rPr>
        <w:t>e</w:t>
      </w:r>
      <w:r w:rsidR="00537251" w:rsidRPr="00061248">
        <w:rPr>
          <w:sz w:val="26"/>
          <w:szCs w:val="26"/>
          <w:lang w:val="en-GB"/>
        </w:rPr>
        <w:t xml:space="preserve">s of Excellence shall be promoted widely to secure funding and other material support within and outside the OIC system in order to perform their set tasks. </w:t>
      </w:r>
      <w:r w:rsidRPr="00061248">
        <w:rPr>
          <w:sz w:val="26"/>
          <w:szCs w:val="26"/>
          <w:lang w:val="en-GB"/>
        </w:rPr>
        <w:t xml:space="preserve"> </w:t>
      </w:r>
    </w:p>
    <w:p w14:paraId="78410092" w14:textId="5770F0D7" w:rsidR="00133EE6" w:rsidRPr="00061248" w:rsidRDefault="00133EE6" w:rsidP="00FE12C2">
      <w:pPr>
        <w:pStyle w:val="NormalWeb"/>
        <w:jc w:val="both"/>
        <w:rPr>
          <w:sz w:val="26"/>
          <w:szCs w:val="26"/>
          <w:lang w:val="en-GB"/>
        </w:rPr>
      </w:pPr>
    </w:p>
    <w:p w14:paraId="0537E327" w14:textId="77777777" w:rsidR="00FE12C2" w:rsidRPr="00061248" w:rsidRDefault="00FE12C2" w:rsidP="00FE12C2">
      <w:pPr>
        <w:pStyle w:val="NormalWeb"/>
        <w:numPr>
          <w:ilvl w:val="0"/>
          <w:numId w:val="9"/>
        </w:numPr>
        <w:jc w:val="both"/>
        <w:rPr>
          <w:sz w:val="26"/>
          <w:szCs w:val="26"/>
          <w:lang w:val="en-GB"/>
        </w:rPr>
      </w:pPr>
      <w:r w:rsidRPr="00061248">
        <w:rPr>
          <w:b/>
          <w:bCs/>
          <w:sz w:val="26"/>
          <w:szCs w:val="26"/>
          <w:lang w:val="en-GB"/>
        </w:rPr>
        <w:t>Proposed list of Regional Centres of Excellence</w:t>
      </w:r>
      <w:r w:rsidRPr="00061248">
        <w:rPr>
          <w:sz w:val="26"/>
          <w:szCs w:val="26"/>
          <w:lang w:val="en-GB"/>
        </w:rPr>
        <w:t xml:space="preserve"> </w:t>
      </w:r>
    </w:p>
    <w:p w14:paraId="22D4441F" w14:textId="6B08C985" w:rsidR="00FE12C2" w:rsidRDefault="00FE12C2" w:rsidP="00FE12C2">
      <w:pPr>
        <w:pStyle w:val="NormalWeb"/>
        <w:jc w:val="both"/>
        <w:rPr>
          <w:sz w:val="26"/>
          <w:szCs w:val="26"/>
          <w:lang w:val="en-GB"/>
        </w:rPr>
      </w:pPr>
      <w:r w:rsidRPr="00061248">
        <w:rPr>
          <w:sz w:val="26"/>
          <w:szCs w:val="26"/>
          <w:lang w:val="en-GB"/>
        </w:rPr>
        <w:t xml:space="preserve">It is envisaged that the following Regional Centres of Excellence will be created under the OIC Plan of Action for Strategic Commodities. </w:t>
      </w:r>
    </w:p>
    <w:p w14:paraId="4B27DC71" w14:textId="7AA4BD3C" w:rsidR="00421CA2" w:rsidRDefault="001F14C2" w:rsidP="00FE12C2">
      <w:pPr>
        <w:pStyle w:val="NormalWeb"/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For the purpose of efficiency, communication and coordination, OIC Member States have been arranged into six geographical groups </w:t>
      </w:r>
      <w:r w:rsidR="00421CA2">
        <w:rPr>
          <w:sz w:val="26"/>
          <w:szCs w:val="26"/>
          <w:lang w:val="en-GB"/>
        </w:rPr>
        <w:t>Asia Group (</w:t>
      </w:r>
      <w:proofErr w:type="spellStart"/>
      <w:r w:rsidR="00421CA2">
        <w:rPr>
          <w:sz w:val="26"/>
          <w:szCs w:val="26"/>
          <w:lang w:val="en-GB"/>
        </w:rPr>
        <w:t>AsG</w:t>
      </w:r>
      <w:proofErr w:type="spellEnd"/>
      <w:r w:rsidR="00421CA2">
        <w:rPr>
          <w:sz w:val="26"/>
          <w:szCs w:val="26"/>
          <w:lang w:val="en-GB"/>
        </w:rPr>
        <w:t>)</w:t>
      </w:r>
      <w:r>
        <w:rPr>
          <w:sz w:val="26"/>
          <w:szCs w:val="26"/>
          <w:lang w:val="en-GB"/>
        </w:rPr>
        <w:t xml:space="preserve"> I and II</w:t>
      </w:r>
      <w:r w:rsidR="00421CA2">
        <w:rPr>
          <w:sz w:val="26"/>
          <w:szCs w:val="26"/>
          <w:lang w:val="en-GB"/>
        </w:rPr>
        <w:t>, Africa Group (</w:t>
      </w:r>
      <w:proofErr w:type="spellStart"/>
      <w:r w:rsidR="00421CA2">
        <w:rPr>
          <w:sz w:val="26"/>
          <w:szCs w:val="26"/>
          <w:lang w:val="en-GB"/>
        </w:rPr>
        <w:t>AfG</w:t>
      </w:r>
      <w:proofErr w:type="spellEnd"/>
      <w:r w:rsidR="00421CA2">
        <w:rPr>
          <w:sz w:val="26"/>
          <w:szCs w:val="26"/>
          <w:lang w:val="en-GB"/>
        </w:rPr>
        <w:t xml:space="preserve">) </w:t>
      </w:r>
      <w:r>
        <w:rPr>
          <w:sz w:val="26"/>
          <w:szCs w:val="26"/>
          <w:lang w:val="en-GB"/>
        </w:rPr>
        <w:t xml:space="preserve">I and II </w:t>
      </w:r>
      <w:r w:rsidR="00421CA2">
        <w:rPr>
          <w:sz w:val="26"/>
          <w:szCs w:val="26"/>
          <w:lang w:val="en-GB"/>
        </w:rPr>
        <w:t>and Arab Group (</w:t>
      </w:r>
      <w:proofErr w:type="spellStart"/>
      <w:r w:rsidR="00421CA2">
        <w:rPr>
          <w:sz w:val="26"/>
          <w:szCs w:val="26"/>
          <w:lang w:val="en-GB"/>
        </w:rPr>
        <w:t>ArG</w:t>
      </w:r>
      <w:proofErr w:type="spellEnd"/>
      <w:r w:rsidR="00421CA2">
        <w:rPr>
          <w:sz w:val="26"/>
          <w:szCs w:val="26"/>
          <w:lang w:val="en-GB"/>
        </w:rPr>
        <w:t xml:space="preserve">) </w:t>
      </w:r>
      <w:r>
        <w:rPr>
          <w:sz w:val="26"/>
          <w:szCs w:val="26"/>
          <w:lang w:val="en-GB"/>
        </w:rPr>
        <w:t>I and II as follows:</w:t>
      </w:r>
    </w:p>
    <w:p w14:paraId="2AFF3326" w14:textId="77777777" w:rsidR="004000FA" w:rsidRDefault="004000FA" w:rsidP="00FE12C2">
      <w:pPr>
        <w:pStyle w:val="NormalWeb"/>
        <w:jc w:val="both"/>
        <w:rPr>
          <w:sz w:val="26"/>
          <w:szCs w:val="26"/>
          <w:lang w:val="en-GB"/>
        </w:rPr>
      </w:pPr>
    </w:p>
    <w:p w14:paraId="2F16CC47" w14:textId="390BECB2" w:rsidR="00061248" w:rsidRDefault="00061248" w:rsidP="00061248">
      <w:pPr>
        <w:pStyle w:val="NormalWeb"/>
        <w:numPr>
          <w:ilvl w:val="0"/>
          <w:numId w:val="10"/>
        </w:numPr>
        <w:jc w:val="both"/>
        <w:rPr>
          <w:b/>
          <w:bCs/>
          <w:sz w:val="26"/>
          <w:szCs w:val="26"/>
          <w:lang w:val="en-GB"/>
        </w:rPr>
      </w:pPr>
      <w:r w:rsidRPr="00061248">
        <w:rPr>
          <w:b/>
          <w:bCs/>
          <w:sz w:val="26"/>
          <w:szCs w:val="26"/>
          <w:lang w:val="en-GB"/>
        </w:rPr>
        <w:lastRenderedPageBreak/>
        <w:t xml:space="preserve">Regional Centres of Excellence for Wheat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9"/>
        <w:gridCol w:w="1948"/>
        <w:gridCol w:w="3544"/>
        <w:gridCol w:w="3254"/>
      </w:tblGrid>
      <w:tr w:rsidR="00061248" w:rsidRPr="00061248" w14:paraId="7670A7E4" w14:textId="77777777" w:rsidTr="009E7561">
        <w:tc>
          <w:tcPr>
            <w:tcW w:w="599" w:type="dxa"/>
          </w:tcPr>
          <w:p w14:paraId="2C2EB973" w14:textId="0DFC3EE8" w:rsidR="00061248" w:rsidRPr="009E7561" w:rsidRDefault="00061248" w:rsidP="00FE12C2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No. </w:t>
            </w:r>
          </w:p>
        </w:tc>
        <w:tc>
          <w:tcPr>
            <w:tcW w:w="1948" w:type="dxa"/>
          </w:tcPr>
          <w:p w14:paraId="178D2FB8" w14:textId="473745A0" w:rsidR="00061248" w:rsidRPr="009E7561" w:rsidRDefault="00061248" w:rsidP="00FE12C2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Group/Zone </w:t>
            </w:r>
          </w:p>
        </w:tc>
        <w:tc>
          <w:tcPr>
            <w:tcW w:w="3544" w:type="dxa"/>
          </w:tcPr>
          <w:p w14:paraId="1E6C6F80" w14:textId="2166B9DF" w:rsidR="00061248" w:rsidRPr="009E7561" w:rsidRDefault="00061248" w:rsidP="00FE12C2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Regional Centre of Excellence </w:t>
            </w:r>
          </w:p>
        </w:tc>
        <w:tc>
          <w:tcPr>
            <w:tcW w:w="3254" w:type="dxa"/>
          </w:tcPr>
          <w:p w14:paraId="40FE4A2E" w14:textId="183554B2" w:rsidR="00061248" w:rsidRPr="009E7561" w:rsidRDefault="00061248" w:rsidP="00FE12C2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>Catchment area</w:t>
            </w:r>
          </w:p>
        </w:tc>
      </w:tr>
      <w:tr w:rsidR="00061248" w:rsidRPr="00EB32F5" w14:paraId="5D83C05F" w14:textId="77777777" w:rsidTr="009E7561">
        <w:tc>
          <w:tcPr>
            <w:tcW w:w="599" w:type="dxa"/>
          </w:tcPr>
          <w:p w14:paraId="5AE5C638" w14:textId="50FEDED2" w:rsidR="00061248" w:rsidRPr="00061248" w:rsidRDefault="00061248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1</w:t>
            </w:r>
          </w:p>
        </w:tc>
        <w:tc>
          <w:tcPr>
            <w:tcW w:w="1948" w:type="dxa"/>
          </w:tcPr>
          <w:p w14:paraId="3BF23DDE" w14:textId="1F53E794" w:rsidR="00061248" w:rsidRPr="00061248" w:rsidRDefault="009E7561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AsG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</w:t>
            </w:r>
          </w:p>
        </w:tc>
        <w:tc>
          <w:tcPr>
            <w:tcW w:w="3544" w:type="dxa"/>
          </w:tcPr>
          <w:p w14:paraId="573C3A39" w14:textId="26A20629" w:rsidR="00061248" w:rsidRPr="00061248" w:rsidRDefault="00EB32F5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Republic of </w:t>
            </w:r>
            <w:r w:rsidR="009E7561">
              <w:rPr>
                <w:sz w:val="26"/>
                <w:szCs w:val="26"/>
                <w:lang w:val="en-GB"/>
              </w:rPr>
              <w:t xml:space="preserve">Turkey </w:t>
            </w:r>
          </w:p>
        </w:tc>
        <w:tc>
          <w:tcPr>
            <w:tcW w:w="3254" w:type="dxa"/>
          </w:tcPr>
          <w:p w14:paraId="3C928EF9" w14:textId="377ECF3A" w:rsidR="00061248" w:rsidRPr="00061248" w:rsidRDefault="009819FC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West and South-East Asia</w:t>
            </w:r>
            <w:r w:rsidR="009E7561">
              <w:rPr>
                <w:sz w:val="26"/>
                <w:szCs w:val="26"/>
                <w:lang w:val="en-GB"/>
              </w:rPr>
              <w:t xml:space="preserve"> </w:t>
            </w:r>
          </w:p>
        </w:tc>
      </w:tr>
      <w:tr w:rsidR="00061248" w:rsidRPr="00EB32F5" w14:paraId="799B0E44" w14:textId="77777777" w:rsidTr="009E7561">
        <w:tc>
          <w:tcPr>
            <w:tcW w:w="599" w:type="dxa"/>
          </w:tcPr>
          <w:p w14:paraId="2277D527" w14:textId="5CB6F3EE" w:rsidR="00061248" w:rsidRPr="00061248" w:rsidRDefault="00061248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2</w:t>
            </w:r>
          </w:p>
        </w:tc>
        <w:tc>
          <w:tcPr>
            <w:tcW w:w="1948" w:type="dxa"/>
          </w:tcPr>
          <w:p w14:paraId="6A390E6F" w14:textId="52A1E4CC" w:rsidR="00061248" w:rsidRPr="00061248" w:rsidRDefault="009E7561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AsG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II</w:t>
            </w:r>
          </w:p>
        </w:tc>
        <w:tc>
          <w:tcPr>
            <w:tcW w:w="3544" w:type="dxa"/>
          </w:tcPr>
          <w:p w14:paraId="29EBAD4A" w14:textId="0B83416A" w:rsidR="00061248" w:rsidRPr="00061248" w:rsidRDefault="00EB32F5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Republic of </w:t>
            </w:r>
            <w:r w:rsidR="009E7561">
              <w:rPr>
                <w:sz w:val="26"/>
                <w:szCs w:val="26"/>
                <w:lang w:val="en-GB"/>
              </w:rPr>
              <w:t xml:space="preserve">Kazakhstan </w:t>
            </w:r>
          </w:p>
        </w:tc>
        <w:tc>
          <w:tcPr>
            <w:tcW w:w="3254" w:type="dxa"/>
          </w:tcPr>
          <w:p w14:paraId="5163B81D" w14:textId="2FAFF63C" w:rsidR="00041ECD" w:rsidRPr="00061248" w:rsidRDefault="00041ECD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Central Asia</w:t>
            </w:r>
            <w:r w:rsidR="009819FC">
              <w:rPr>
                <w:sz w:val="26"/>
                <w:szCs w:val="26"/>
                <w:lang w:val="en-GB"/>
              </w:rPr>
              <w:t xml:space="preserve"> +</w:t>
            </w:r>
            <w:r>
              <w:rPr>
                <w:sz w:val="26"/>
                <w:szCs w:val="26"/>
                <w:lang w:val="en-GB"/>
              </w:rPr>
              <w:t xml:space="preserve"> Afghanistan</w:t>
            </w:r>
            <w:r w:rsidR="009819FC">
              <w:rPr>
                <w:sz w:val="26"/>
                <w:szCs w:val="26"/>
                <w:lang w:val="en-GB"/>
              </w:rPr>
              <w:t>,</w:t>
            </w:r>
            <w:r>
              <w:rPr>
                <w:sz w:val="26"/>
                <w:szCs w:val="26"/>
                <w:lang w:val="en-GB"/>
              </w:rPr>
              <w:t xml:space="preserve"> Iran</w:t>
            </w:r>
            <w:r w:rsidR="009819FC">
              <w:rPr>
                <w:sz w:val="26"/>
                <w:szCs w:val="26"/>
                <w:lang w:val="en-GB"/>
              </w:rPr>
              <w:t>, Azerbaijan</w:t>
            </w:r>
          </w:p>
        </w:tc>
      </w:tr>
      <w:tr w:rsidR="00061248" w:rsidRPr="00061248" w14:paraId="1C973C7B" w14:textId="77777777" w:rsidTr="009E7561">
        <w:tc>
          <w:tcPr>
            <w:tcW w:w="599" w:type="dxa"/>
          </w:tcPr>
          <w:p w14:paraId="0968B840" w14:textId="10A880CD" w:rsidR="00061248" w:rsidRPr="00061248" w:rsidRDefault="009819FC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3</w:t>
            </w:r>
          </w:p>
        </w:tc>
        <w:tc>
          <w:tcPr>
            <w:tcW w:w="1948" w:type="dxa"/>
          </w:tcPr>
          <w:p w14:paraId="117123EE" w14:textId="091F37F8" w:rsidR="00061248" w:rsidRPr="00061248" w:rsidRDefault="009E7561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ArG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</w:t>
            </w:r>
          </w:p>
        </w:tc>
        <w:tc>
          <w:tcPr>
            <w:tcW w:w="3544" w:type="dxa"/>
          </w:tcPr>
          <w:p w14:paraId="3C7C092C" w14:textId="0E971C22" w:rsidR="00061248" w:rsidRPr="00061248" w:rsidRDefault="00EB32F5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Arab Republic of </w:t>
            </w:r>
            <w:r w:rsidR="009E7561">
              <w:rPr>
                <w:sz w:val="26"/>
                <w:szCs w:val="26"/>
                <w:lang w:val="en-GB"/>
              </w:rPr>
              <w:t xml:space="preserve">Egypt </w:t>
            </w:r>
          </w:p>
        </w:tc>
        <w:tc>
          <w:tcPr>
            <w:tcW w:w="3254" w:type="dxa"/>
          </w:tcPr>
          <w:p w14:paraId="7D78C129" w14:textId="46373D47" w:rsidR="00061248" w:rsidRPr="00061248" w:rsidRDefault="00041ECD" w:rsidP="00FE12C2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Arab </w:t>
            </w:r>
            <w:r w:rsidR="009819FC">
              <w:rPr>
                <w:sz w:val="26"/>
                <w:szCs w:val="26"/>
                <w:lang w:val="en-GB"/>
              </w:rPr>
              <w:t xml:space="preserve">and Africa </w:t>
            </w:r>
            <w:r>
              <w:rPr>
                <w:sz w:val="26"/>
                <w:szCs w:val="26"/>
                <w:lang w:val="en-GB"/>
              </w:rPr>
              <w:t>group</w:t>
            </w:r>
            <w:r w:rsidR="009819FC">
              <w:rPr>
                <w:sz w:val="26"/>
                <w:szCs w:val="26"/>
                <w:lang w:val="en-GB"/>
              </w:rPr>
              <w:t>s</w:t>
            </w:r>
            <w:r>
              <w:rPr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5EE589FF" w14:textId="3C1070A3" w:rsidR="00421CA2" w:rsidRPr="00421CA2" w:rsidRDefault="00421CA2" w:rsidP="00421CA2">
      <w:pPr>
        <w:pStyle w:val="NormalWeb"/>
        <w:numPr>
          <w:ilvl w:val="0"/>
          <w:numId w:val="10"/>
        </w:numPr>
        <w:jc w:val="both"/>
        <w:rPr>
          <w:b/>
          <w:bCs/>
          <w:sz w:val="26"/>
          <w:szCs w:val="26"/>
          <w:lang w:val="en-GB"/>
        </w:rPr>
      </w:pPr>
      <w:r>
        <w:rPr>
          <w:b/>
          <w:bCs/>
          <w:sz w:val="26"/>
          <w:szCs w:val="26"/>
          <w:lang w:val="en-GB"/>
        </w:rPr>
        <w:t xml:space="preserve">          </w:t>
      </w:r>
      <w:r w:rsidRPr="00421CA2">
        <w:rPr>
          <w:b/>
          <w:bCs/>
          <w:sz w:val="26"/>
          <w:szCs w:val="26"/>
          <w:lang w:val="en-GB"/>
        </w:rPr>
        <w:t xml:space="preserve">Regional Centres of Excellence for Cassava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9"/>
        <w:gridCol w:w="1948"/>
        <w:gridCol w:w="3544"/>
        <w:gridCol w:w="3254"/>
      </w:tblGrid>
      <w:tr w:rsidR="00421CA2" w:rsidRPr="00061248" w14:paraId="5F993BA1" w14:textId="77777777" w:rsidTr="005C2094">
        <w:tc>
          <w:tcPr>
            <w:tcW w:w="599" w:type="dxa"/>
          </w:tcPr>
          <w:p w14:paraId="26EBD793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No. </w:t>
            </w:r>
          </w:p>
        </w:tc>
        <w:tc>
          <w:tcPr>
            <w:tcW w:w="1948" w:type="dxa"/>
          </w:tcPr>
          <w:p w14:paraId="40B9F75F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Group/Zone </w:t>
            </w:r>
          </w:p>
        </w:tc>
        <w:tc>
          <w:tcPr>
            <w:tcW w:w="3544" w:type="dxa"/>
          </w:tcPr>
          <w:p w14:paraId="3953D09A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Regional Centre of Excellence </w:t>
            </w:r>
          </w:p>
        </w:tc>
        <w:tc>
          <w:tcPr>
            <w:tcW w:w="3254" w:type="dxa"/>
          </w:tcPr>
          <w:p w14:paraId="5F767CA9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>Catchment area</w:t>
            </w:r>
          </w:p>
        </w:tc>
      </w:tr>
      <w:tr w:rsidR="00421CA2" w:rsidRPr="00061248" w14:paraId="13CE5E90" w14:textId="77777777" w:rsidTr="005C2094">
        <w:tc>
          <w:tcPr>
            <w:tcW w:w="599" w:type="dxa"/>
          </w:tcPr>
          <w:p w14:paraId="14918055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1</w:t>
            </w:r>
          </w:p>
        </w:tc>
        <w:tc>
          <w:tcPr>
            <w:tcW w:w="1948" w:type="dxa"/>
          </w:tcPr>
          <w:p w14:paraId="2CF5057C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AsG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</w:t>
            </w:r>
          </w:p>
        </w:tc>
        <w:tc>
          <w:tcPr>
            <w:tcW w:w="3544" w:type="dxa"/>
          </w:tcPr>
          <w:p w14:paraId="4EE04043" w14:textId="73CFAF22" w:rsidR="00421CA2" w:rsidRPr="00061248" w:rsidRDefault="00EB32F5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Republic of </w:t>
            </w:r>
            <w:r w:rsidR="00231898">
              <w:rPr>
                <w:sz w:val="26"/>
                <w:szCs w:val="26"/>
                <w:lang w:val="en-GB"/>
              </w:rPr>
              <w:t xml:space="preserve">Indonesia </w:t>
            </w:r>
          </w:p>
        </w:tc>
        <w:tc>
          <w:tcPr>
            <w:tcW w:w="3254" w:type="dxa"/>
          </w:tcPr>
          <w:p w14:paraId="0C0E187E" w14:textId="50369F97" w:rsidR="00421CA2" w:rsidRPr="00061248" w:rsidRDefault="00041ECD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Asia </w:t>
            </w:r>
          </w:p>
        </w:tc>
      </w:tr>
      <w:tr w:rsidR="00421CA2" w:rsidRPr="00061248" w14:paraId="3B307466" w14:textId="77777777" w:rsidTr="005C2094">
        <w:tc>
          <w:tcPr>
            <w:tcW w:w="599" w:type="dxa"/>
          </w:tcPr>
          <w:p w14:paraId="6BB5F72C" w14:textId="14F14F02" w:rsidR="00421CA2" w:rsidRPr="00061248" w:rsidRDefault="00DC7800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2</w:t>
            </w:r>
          </w:p>
        </w:tc>
        <w:tc>
          <w:tcPr>
            <w:tcW w:w="1948" w:type="dxa"/>
          </w:tcPr>
          <w:p w14:paraId="3ED84CE5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AfG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</w:t>
            </w:r>
          </w:p>
        </w:tc>
        <w:tc>
          <w:tcPr>
            <w:tcW w:w="3544" w:type="dxa"/>
          </w:tcPr>
          <w:p w14:paraId="0B0AB50D" w14:textId="7C4B0122" w:rsidR="00421CA2" w:rsidRPr="00061248" w:rsidRDefault="00EB32F5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Federal Republic of </w:t>
            </w:r>
            <w:r w:rsidR="00231898">
              <w:rPr>
                <w:sz w:val="26"/>
                <w:szCs w:val="26"/>
                <w:lang w:val="en-GB"/>
              </w:rPr>
              <w:t xml:space="preserve">Nigeria </w:t>
            </w:r>
          </w:p>
        </w:tc>
        <w:tc>
          <w:tcPr>
            <w:tcW w:w="3254" w:type="dxa"/>
          </w:tcPr>
          <w:p w14:paraId="34D06E9E" w14:textId="5A9532AE" w:rsidR="00421CA2" w:rsidRPr="00061248" w:rsidRDefault="00041ECD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West Africa </w:t>
            </w:r>
          </w:p>
        </w:tc>
      </w:tr>
      <w:tr w:rsidR="00421CA2" w:rsidRPr="00061248" w14:paraId="028BDB99" w14:textId="77777777" w:rsidTr="005C2094">
        <w:tc>
          <w:tcPr>
            <w:tcW w:w="599" w:type="dxa"/>
          </w:tcPr>
          <w:p w14:paraId="4CEE2E18" w14:textId="3EB93E45" w:rsidR="00421CA2" w:rsidRPr="00061248" w:rsidRDefault="00DC7800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3</w:t>
            </w:r>
          </w:p>
        </w:tc>
        <w:tc>
          <w:tcPr>
            <w:tcW w:w="1948" w:type="dxa"/>
          </w:tcPr>
          <w:p w14:paraId="686B1BAB" w14:textId="4019E2EE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AfG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</w:t>
            </w:r>
          </w:p>
        </w:tc>
        <w:tc>
          <w:tcPr>
            <w:tcW w:w="3544" w:type="dxa"/>
          </w:tcPr>
          <w:p w14:paraId="70115DDD" w14:textId="57192C92" w:rsidR="00421CA2" w:rsidRPr="00061248" w:rsidRDefault="00EB32F5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Republic of </w:t>
            </w:r>
            <w:r w:rsidR="00231898">
              <w:rPr>
                <w:sz w:val="26"/>
                <w:szCs w:val="26"/>
                <w:lang w:val="en-GB"/>
              </w:rPr>
              <w:t xml:space="preserve">Cameroon </w:t>
            </w:r>
          </w:p>
        </w:tc>
        <w:tc>
          <w:tcPr>
            <w:tcW w:w="3254" w:type="dxa"/>
          </w:tcPr>
          <w:p w14:paraId="654AD2F5" w14:textId="4E3629EC" w:rsidR="00421CA2" w:rsidRPr="00061248" w:rsidRDefault="00041ECD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Eastern </w:t>
            </w:r>
            <w:r w:rsidR="009819FC">
              <w:rPr>
                <w:sz w:val="26"/>
                <w:szCs w:val="26"/>
                <w:lang w:val="en-GB"/>
              </w:rPr>
              <w:t xml:space="preserve">and Central </w:t>
            </w:r>
            <w:r>
              <w:rPr>
                <w:sz w:val="26"/>
                <w:szCs w:val="26"/>
                <w:lang w:val="en-GB"/>
              </w:rPr>
              <w:t xml:space="preserve">Africa </w:t>
            </w:r>
          </w:p>
        </w:tc>
      </w:tr>
    </w:tbl>
    <w:p w14:paraId="2F6E5B36" w14:textId="1BB33DA5" w:rsidR="00421CA2" w:rsidRPr="00421CA2" w:rsidRDefault="00421CA2" w:rsidP="00C5792E">
      <w:pPr>
        <w:pStyle w:val="NormalWeb"/>
        <w:numPr>
          <w:ilvl w:val="0"/>
          <w:numId w:val="10"/>
        </w:numPr>
        <w:jc w:val="both"/>
        <w:rPr>
          <w:b/>
          <w:bCs/>
          <w:sz w:val="26"/>
          <w:szCs w:val="26"/>
          <w:lang w:val="en-GB"/>
        </w:rPr>
      </w:pPr>
      <w:r w:rsidRPr="00421CA2">
        <w:rPr>
          <w:b/>
          <w:bCs/>
          <w:sz w:val="26"/>
          <w:szCs w:val="26"/>
          <w:lang w:val="en-GB"/>
        </w:rPr>
        <w:t xml:space="preserve">Regional Centres of Excellence for Rice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9"/>
        <w:gridCol w:w="1948"/>
        <w:gridCol w:w="3544"/>
        <w:gridCol w:w="3254"/>
      </w:tblGrid>
      <w:tr w:rsidR="00421CA2" w:rsidRPr="00061248" w14:paraId="4EAE83A7" w14:textId="77777777" w:rsidTr="005C2094">
        <w:tc>
          <w:tcPr>
            <w:tcW w:w="599" w:type="dxa"/>
          </w:tcPr>
          <w:p w14:paraId="37ADF4C5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No. </w:t>
            </w:r>
          </w:p>
        </w:tc>
        <w:tc>
          <w:tcPr>
            <w:tcW w:w="1948" w:type="dxa"/>
          </w:tcPr>
          <w:p w14:paraId="2793EE5A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Group/Zone </w:t>
            </w:r>
          </w:p>
        </w:tc>
        <w:tc>
          <w:tcPr>
            <w:tcW w:w="3544" w:type="dxa"/>
          </w:tcPr>
          <w:p w14:paraId="712BC2CA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 xml:space="preserve">Regional Centre of Excellence </w:t>
            </w:r>
          </w:p>
        </w:tc>
        <w:tc>
          <w:tcPr>
            <w:tcW w:w="3254" w:type="dxa"/>
          </w:tcPr>
          <w:p w14:paraId="36DCC641" w14:textId="77777777" w:rsidR="00421CA2" w:rsidRPr="009E7561" w:rsidRDefault="00421CA2" w:rsidP="005C2094">
            <w:pPr>
              <w:pStyle w:val="NormalWeb"/>
              <w:jc w:val="both"/>
              <w:rPr>
                <w:b/>
                <w:bCs/>
                <w:sz w:val="26"/>
                <w:szCs w:val="26"/>
                <w:lang w:val="en-GB"/>
              </w:rPr>
            </w:pPr>
            <w:r w:rsidRPr="009E7561">
              <w:rPr>
                <w:b/>
                <w:bCs/>
                <w:sz w:val="26"/>
                <w:szCs w:val="26"/>
                <w:lang w:val="en-GB"/>
              </w:rPr>
              <w:t>Catchment area</w:t>
            </w:r>
          </w:p>
        </w:tc>
      </w:tr>
      <w:tr w:rsidR="00421CA2" w:rsidRPr="00061248" w14:paraId="3E306BA4" w14:textId="77777777" w:rsidTr="005C2094">
        <w:tc>
          <w:tcPr>
            <w:tcW w:w="599" w:type="dxa"/>
          </w:tcPr>
          <w:p w14:paraId="17FD87EB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1</w:t>
            </w:r>
          </w:p>
        </w:tc>
        <w:tc>
          <w:tcPr>
            <w:tcW w:w="1948" w:type="dxa"/>
          </w:tcPr>
          <w:p w14:paraId="74540B93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AsG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</w:t>
            </w:r>
          </w:p>
        </w:tc>
        <w:tc>
          <w:tcPr>
            <w:tcW w:w="3544" w:type="dxa"/>
          </w:tcPr>
          <w:p w14:paraId="574CF200" w14:textId="7BCFB168" w:rsidR="00421CA2" w:rsidRPr="00061248" w:rsidRDefault="00EB32F5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Republic of </w:t>
            </w:r>
            <w:r w:rsidR="00DC7800">
              <w:rPr>
                <w:sz w:val="26"/>
                <w:szCs w:val="26"/>
                <w:lang w:val="en-GB"/>
              </w:rPr>
              <w:t xml:space="preserve">Indonesia </w:t>
            </w:r>
          </w:p>
        </w:tc>
        <w:tc>
          <w:tcPr>
            <w:tcW w:w="3254" w:type="dxa"/>
          </w:tcPr>
          <w:p w14:paraId="3DECBD8C" w14:textId="20BE5886" w:rsidR="00421CA2" w:rsidRPr="00061248" w:rsidRDefault="009819FC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Asia</w:t>
            </w:r>
          </w:p>
        </w:tc>
      </w:tr>
      <w:tr w:rsidR="00421CA2" w:rsidRPr="00EB32F5" w14:paraId="46F7AB23" w14:textId="77777777" w:rsidTr="005C2094">
        <w:tc>
          <w:tcPr>
            <w:tcW w:w="599" w:type="dxa"/>
          </w:tcPr>
          <w:p w14:paraId="629E4CDD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2</w:t>
            </w:r>
          </w:p>
        </w:tc>
        <w:tc>
          <w:tcPr>
            <w:tcW w:w="1948" w:type="dxa"/>
          </w:tcPr>
          <w:p w14:paraId="6DF7B5C4" w14:textId="77777777" w:rsidR="00421CA2" w:rsidRPr="00061248" w:rsidRDefault="00421CA2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AsG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II</w:t>
            </w:r>
          </w:p>
        </w:tc>
        <w:tc>
          <w:tcPr>
            <w:tcW w:w="3544" w:type="dxa"/>
          </w:tcPr>
          <w:p w14:paraId="5305073B" w14:textId="6951E033" w:rsidR="00421CA2" w:rsidRPr="00061248" w:rsidRDefault="00EB32F5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People’s Republic of </w:t>
            </w:r>
            <w:r w:rsidR="009819FC">
              <w:rPr>
                <w:sz w:val="26"/>
                <w:szCs w:val="26"/>
                <w:lang w:val="en-GB"/>
              </w:rPr>
              <w:t>Bangladesh</w:t>
            </w:r>
            <w:r w:rsidR="0018631D">
              <w:rPr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254" w:type="dxa"/>
          </w:tcPr>
          <w:p w14:paraId="02F332FC" w14:textId="187549E0" w:rsidR="00C5792E" w:rsidRPr="00061248" w:rsidRDefault="00041ECD" w:rsidP="005C2094">
            <w:pPr>
              <w:pStyle w:val="NormalWeb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Central Asia</w:t>
            </w:r>
            <w:r w:rsidR="00C5792E">
              <w:rPr>
                <w:sz w:val="26"/>
                <w:szCs w:val="26"/>
                <w:lang w:val="en-GB"/>
              </w:rPr>
              <w:t>, Arab and Africa groups</w:t>
            </w:r>
          </w:p>
        </w:tc>
      </w:tr>
    </w:tbl>
    <w:p w14:paraId="36AEFE81" w14:textId="77777777" w:rsidR="00421CA2" w:rsidRPr="00061248" w:rsidRDefault="00421CA2" w:rsidP="00421CA2">
      <w:pPr>
        <w:pStyle w:val="NormalWeb"/>
        <w:jc w:val="both"/>
        <w:rPr>
          <w:sz w:val="26"/>
          <w:szCs w:val="26"/>
          <w:lang w:val="en-GB"/>
        </w:rPr>
      </w:pPr>
    </w:p>
    <w:p w14:paraId="70BFE728" w14:textId="77777777" w:rsidR="00133EE6" w:rsidRPr="00061248" w:rsidRDefault="00133EE6" w:rsidP="00133EE6">
      <w:pPr>
        <w:pStyle w:val="NormalWeb"/>
        <w:ind w:left="360"/>
        <w:jc w:val="both"/>
        <w:rPr>
          <w:sz w:val="26"/>
          <w:szCs w:val="26"/>
          <w:lang w:val="en-GB"/>
        </w:rPr>
      </w:pPr>
    </w:p>
    <w:p w14:paraId="6A6B55FB" w14:textId="77777777" w:rsidR="00133EE6" w:rsidRPr="00061248" w:rsidRDefault="00133EE6" w:rsidP="00133EE6">
      <w:pPr>
        <w:contextualSpacing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b/>
          <w:bCs/>
          <w:sz w:val="26"/>
          <w:szCs w:val="26"/>
          <w:lang w:val="en-GB"/>
        </w:rPr>
        <w:t>The Secretariat</w:t>
      </w:r>
    </w:p>
    <w:p w14:paraId="32CE62D0" w14:textId="77777777" w:rsidR="00133EE6" w:rsidRPr="00061248" w:rsidRDefault="00133EE6" w:rsidP="00133EE6">
      <w:pPr>
        <w:contextualSpacing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b/>
          <w:bCs/>
          <w:sz w:val="26"/>
          <w:szCs w:val="26"/>
          <w:lang w:val="en-GB"/>
        </w:rPr>
        <w:t>Islamic Organisation for Food Security</w:t>
      </w:r>
    </w:p>
    <w:p w14:paraId="32B19D3B" w14:textId="77777777" w:rsidR="00133EE6" w:rsidRPr="00061248" w:rsidRDefault="00133EE6" w:rsidP="00133EE6">
      <w:pPr>
        <w:contextualSpacing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061248">
        <w:rPr>
          <w:rFonts w:ascii="Times New Roman" w:hAnsi="Times New Roman" w:cs="Times New Roman"/>
          <w:b/>
          <w:bCs/>
          <w:sz w:val="26"/>
          <w:szCs w:val="26"/>
          <w:lang w:val="en-GB"/>
        </w:rPr>
        <w:t>Nur Sultan, Republic of Kazakhstan</w:t>
      </w:r>
    </w:p>
    <w:p w14:paraId="35CC5B3A" w14:textId="77777777" w:rsidR="007D13EB" w:rsidRPr="00061248" w:rsidRDefault="007D13EB" w:rsidP="00024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GB"/>
        </w:rPr>
      </w:pPr>
    </w:p>
    <w:sectPr w:rsidR="007D13EB" w:rsidRPr="00061248" w:rsidSect="007C602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AB5"/>
    <w:multiLevelType w:val="hybridMultilevel"/>
    <w:tmpl w:val="7C4AAB3A"/>
    <w:lvl w:ilvl="0" w:tplc="23EC8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92330"/>
    <w:multiLevelType w:val="hybridMultilevel"/>
    <w:tmpl w:val="19868942"/>
    <w:lvl w:ilvl="0" w:tplc="80DCE5B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73455"/>
    <w:multiLevelType w:val="multilevel"/>
    <w:tmpl w:val="A550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827E5D"/>
    <w:multiLevelType w:val="hybridMultilevel"/>
    <w:tmpl w:val="17D0EB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910D8"/>
    <w:multiLevelType w:val="hybridMultilevel"/>
    <w:tmpl w:val="101C6AEC"/>
    <w:lvl w:ilvl="0" w:tplc="EB86F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C82178"/>
    <w:multiLevelType w:val="hybridMultilevel"/>
    <w:tmpl w:val="3CD4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36B79"/>
    <w:multiLevelType w:val="hybridMultilevel"/>
    <w:tmpl w:val="D34CAD0C"/>
    <w:lvl w:ilvl="0" w:tplc="4A40E8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F5F43"/>
    <w:multiLevelType w:val="hybridMultilevel"/>
    <w:tmpl w:val="B73867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92055"/>
    <w:multiLevelType w:val="hybridMultilevel"/>
    <w:tmpl w:val="41A027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956D76"/>
    <w:multiLevelType w:val="multilevel"/>
    <w:tmpl w:val="372A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17"/>
    <w:rsid w:val="00004665"/>
    <w:rsid w:val="00024CAE"/>
    <w:rsid w:val="00041ECD"/>
    <w:rsid w:val="00061248"/>
    <w:rsid w:val="00074032"/>
    <w:rsid w:val="000D263C"/>
    <w:rsid w:val="00102439"/>
    <w:rsid w:val="00133EE6"/>
    <w:rsid w:val="001666C9"/>
    <w:rsid w:val="0018631D"/>
    <w:rsid w:val="001C0F59"/>
    <w:rsid w:val="001F14C2"/>
    <w:rsid w:val="00231898"/>
    <w:rsid w:val="002D2AF2"/>
    <w:rsid w:val="00307099"/>
    <w:rsid w:val="003A59F0"/>
    <w:rsid w:val="003E0444"/>
    <w:rsid w:val="004000FA"/>
    <w:rsid w:val="00421CA2"/>
    <w:rsid w:val="004707AD"/>
    <w:rsid w:val="004A7CB2"/>
    <w:rsid w:val="004D3579"/>
    <w:rsid w:val="004E535D"/>
    <w:rsid w:val="005303E6"/>
    <w:rsid w:val="00537251"/>
    <w:rsid w:val="005D0611"/>
    <w:rsid w:val="005F6872"/>
    <w:rsid w:val="0060788F"/>
    <w:rsid w:val="00631AC1"/>
    <w:rsid w:val="00642383"/>
    <w:rsid w:val="00673A0D"/>
    <w:rsid w:val="006E7817"/>
    <w:rsid w:val="0074690D"/>
    <w:rsid w:val="007C48F7"/>
    <w:rsid w:val="007C6020"/>
    <w:rsid w:val="007D13EB"/>
    <w:rsid w:val="008359FD"/>
    <w:rsid w:val="008542B2"/>
    <w:rsid w:val="00856734"/>
    <w:rsid w:val="0088498F"/>
    <w:rsid w:val="00894399"/>
    <w:rsid w:val="008C1B70"/>
    <w:rsid w:val="00960358"/>
    <w:rsid w:val="009714E4"/>
    <w:rsid w:val="009819FC"/>
    <w:rsid w:val="009E7561"/>
    <w:rsid w:val="00A34CA4"/>
    <w:rsid w:val="00A46701"/>
    <w:rsid w:val="00A556CE"/>
    <w:rsid w:val="00AA0921"/>
    <w:rsid w:val="00AC1171"/>
    <w:rsid w:val="00AF60B0"/>
    <w:rsid w:val="00B0334C"/>
    <w:rsid w:val="00B21F52"/>
    <w:rsid w:val="00B27201"/>
    <w:rsid w:val="00B6314C"/>
    <w:rsid w:val="00C10276"/>
    <w:rsid w:val="00C17A17"/>
    <w:rsid w:val="00C5792E"/>
    <w:rsid w:val="00C623E0"/>
    <w:rsid w:val="00C66199"/>
    <w:rsid w:val="00C666E8"/>
    <w:rsid w:val="00C83B25"/>
    <w:rsid w:val="00CA12BB"/>
    <w:rsid w:val="00CC237A"/>
    <w:rsid w:val="00CE50CA"/>
    <w:rsid w:val="00CE74CD"/>
    <w:rsid w:val="00D01C1C"/>
    <w:rsid w:val="00D4201A"/>
    <w:rsid w:val="00DC7800"/>
    <w:rsid w:val="00E9052F"/>
    <w:rsid w:val="00EB32F5"/>
    <w:rsid w:val="00EE5F90"/>
    <w:rsid w:val="00F4354B"/>
    <w:rsid w:val="00F70A2B"/>
    <w:rsid w:val="00F774AD"/>
    <w:rsid w:val="00F876F9"/>
    <w:rsid w:val="00FA6248"/>
    <w:rsid w:val="00FE12C2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1ED0B"/>
  <w15:chartTrackingRefBased/>
  <w15:docId w15:val="{54ED2AAE-0C37-47A0-AFE2-16C267A0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B21F52"/>
    <w:pPr>
      <w:ind w:left="720"/>
      <w:contextualSpacing/>
    </w:pPr>
  </w:style>
  <w:style w:type="table" w:styleId="TableGrid">
    <w:name w:val="Table Grid"/>
    <w:basedOn w:val="TableNormal"/>
    <w:uiPriority w:val="39"/>
    <w:rsid w:val="00960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9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37E33-72C2-45BE-8F76-C8FFD9F3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Dr. Ismail Abdelhamid</cp:lastModifiedBy>
  <cp:revision>2</cp:revision>
  <cp:lastPrinted>2020-01-08T09:32:00Z</cp:lastPrinted>
  <dcterms:created xsi:type="dcterms:W3CDTF">2020-03-16T09:40:00Z</dcterms:created>
  <dcterms:modified xsi:type="dcterms:W3CDTF">2020-03-16T09:40:00Z</dcterms:modified>
</cp:coreProperties>
</file>