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A8496" w14:textId="149F5721" w:rsidR="00A1363C" w:rsidRPr="000B60DC" w:rsidRDefault="00502DBE" w:rsidP="00502DBE">
      <w:pPr>
        <w:pStyle w:val="a4"/>
        <w:spacing w:before="0" w:beforeAutospacing="0" w:after="0" w:afterAutospacing="0"/>
        <w:jc w:val="right"/>
        <w:rPr>
          <w:lang w:val="fr-FR"/>
        </w:rPr>
      </w:pPr>
      <w:r>
        <w:rPr>
          <w:rFonts w:cstheme="minorBidi"/>
          <w:i/>
          <w:iCs/>
          <w:noProof/>
          <w:color w:val="000000" w:themeColor="text1"/>
          <w:kern w:val="24"/>
          <w:lang w:val="en-US"/>
        </w:rPr>
        <w:drawing>
          <wp:anchor distT="0" distB="0" distL="114300" distR="114300" simplePos="0" relativeHeight="251659264" behindDoc="0" locked="0" layoutInCell="1" allowOverlap="1" wp14:anchorId="5DABAAC5" wp14:editId="148F473D">
            <wp:simplePos x="0" y="0"/>
            <wp:positionH relativeFrom="margin">
              <wp:posOffset>-15240</wp:posOffset>
            </wp:positionH>
            <wp:positionV relativeFrom="paragraph">
              <wp:posOffset>0</wp:posOffset>
            </wp:positionV>
            <wp:extent cx="1684020" cy="1684020"/>
            <wp:effectExtent l="0" t="0" r="0" b="0"/>
            <wp:wrapThrough wrapText="bothSides">
              <wp:wrapPolygon edited="0">
                <wp:start x="0" y="0"/>
                <wp:lineTo x="0" y="21258"/>
                <wp:lineTo x="21258" y="21258"/>
                <wp:lineTo x="2125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68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63C" w:rsidRPr="000B60DC">
        <w:rPr>
          <w:rFonts w:cstheme="minorBidi"/>
          <w:i/>
          <w:iCs/>
          <w:color w:val="000000" w:themeColor="text1"/>
          <w:kern w:val="24"/>
          <w:lang w:val="fr-FR"/>
        </w:rPr>
        <w:t>Annex</w:t>
      </w:r>
      <w:r w:rsidR="000B60DC" w:rsidRPr="000B60DC">
        <w:rPr>
          <w:rFonts w:cstheme="minorBidi"/>
          <w:i/>
          <w:iCs/>
          <w:color w:val="000000" w:themeColor="text1"/>
          <w:kern w:val="24"/>
          <w:lang w:val="fr-FR"/>
        </w:rPr>
        <w:t>e</w:t>
      </w:r>
    </w:p>
    <w:p w14:paraId="253D1395" w14:textId="50CC7FAC" w:rsidR="00A1363C" w:rsidRPr="000B60DC" w:rsidRDefault="00A1363C" w:rsidP="00502DBE">
      <w:pPr>
        <w:pStyle w:val="a4"/>
        <w:spacing w:before="0" w:beforeAutospacing="0" w:after="0" w:afterAutospacing="0" w:line="41" w:lineRule="exact"/>
        <w:jc w:val="right"/>
        <w:rPr>
          <w:lang w:val="fr-FR"/>
        </w:rPr>
      </w:pPr>
      <w:r w:rsidRPr="000B60DC">
        <w:rPr>
          <w:rFonts w:cstheme="minorBidi"/>
          <w:color w:val="000000" w:themeColor="text1"/>
          <w:kern w:val="24"/>
          <w:lang w:val="fr-FR"/>
        </w:rPr>
        <w:t> </w:t>
      </w:r>
    </w:p>
    <w:p w14:paraId="3FDE5A17" w14:textId="77777777" w:rsidR="000B60DC" w:rsidRPr="00F3270D" w:rsidRDefault="000B60DC" w:rsidP="000B60DC">
      <w:pPr>
        <w:pStyle w:val="a4"/>
        <w:spacing w:before="0" w:beforeAutospacing="0" w:after="0" w:afterAutospacing="0"/>
        <w:jc w:val="right"/>
        <w:rPr>
          <w:lang w:val="fr-FR"/>
        </w:rPr>
      </w:pPr>
      <w:r>
        <w:rPr>
          <w:rFonts w:cstheme="minorBidi"/>
          <w:i/>
          <w:iCs/>
          <w:color w:val="000000" w:themeColor="text1"/>
          <w:kern w:val="24"/>
          <w:lang w:val="fr-FR"/>
        </w:rPr>
        <w:t>à</w:t>
      </w:r>
      <w:r w:rsidRPr="00F3270D">
        <w:rPr>
          <w:rFonts w:cstheme="minorBidi"/>
          <w:i/>
          <w:iCs/>
          <w:color w:val="000000" w:themeColor="text1"/>
          <w:kern w:val="24"/>
          <w:lang w:val="fr-FR"/>
        </w:rPr>
        <w:t xml:space="preserve"> la Resolution № IOFS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/</w:t>
      </w:r>
      <w:r w:rsidRPr="00F3270D">
        <w:rPr>
          <w:rFonts w:cstheme="minorBidi"/>
          <w:i/>
          <w:iCs/>
          <w:color w:val="000000" w:themeColor="text1"/>
          <w:kern w:val="24"/>
          <w:lang w:val="fr-FR"/>
        </w:rPr>
        <w:t>GA/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1-</w:t>
      </w:r>
      <w:r w:rsidRPr="00F3270D">
        <w:rPr>
          <w:rFonts w:cstheme="minorBidi"/>
          <w:i/>
          <w:iCs/>
          <w:color w:val="000000" w:themeColor="text1"/>
          <w:kern w:val="24"/>
          <w:lang w:val="fr-FR"/>
        </w:rPr>
        <w:t>5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-</w:t>
      </w:r>
      <w:r w:rsidRPr="00F3270D">
        <w:rPr>
          <w:rFonts w:cstheme="minorBidi"/>
          <w:i/>
          <w:iCs/>
          <w:color w:val="000000" w:themeColor="text1"/>
          <w:kern w:val="24"/>
          <w:lang w:val="fr-FR"/>
        </w:rPr>
        <w:t>201</w:t>
      </w:r>
      <w:r w:rsidRPr="00A1363C">
        <w:rPr>
          <w:rFonts w:cstheme="minorBidi"/>
          <w:i/>
          <w:iCs/>
          <w:color w:val="000000" w:themeColor="text1"/>
          <w:kern w:val="24"/>
          <w:lang w:val="kk-KZ"/>
        </w:rPr>
        <w:t>9</w:t>
      </w:r>
    </w:p>
    <w:p w14:paraId="5032FAAC" w14:textId="77777777" w:rsidR="000B60DC" w:rsidRPr="00F3270D" w:rsidRDefault="000B60DC" w:rsidP="000B60DC">
      <w:pPr>
        <w:pStyle w:val="a4"/>
        <w:spacing w:before="0" w:beforeAutospacing="0" w:after="0" w:afterAutospacing="0" w:line="41" w:lineRule="exact"/>
        <w:jc w:val="right"/>
        <w:rPr>
          <w:lang w:val="fr-FR"/>
        </w:rPr>
      </w:pPr>
      <w:r w:rsidRPr="00F3270D">
        <w:rPr>
          <w:rFonts w:cstheme="minorBidi"/>
          <w:color w:val="000000" w:themeColor="text1"/>
          <w:kern w:val="24"/>
          <w:lang w:val="fr-FR"/>
        </w:rPr>
        <w:t> </w:t>
      </w:r>
    </w:p>
    <w:p w14:paraId="4EC77BEA" w14:textId="77777777" w:rsidR="000B60DC" w:rsidRPr="00F3270D" w:rsidRDefault="000B60DC" w:rsidP="000B60DC">
      <w:pPr>
        <w:pStyle w:val="a4"/>
        <w:spacing w:before="0" w:beforeAutospacing="0" w:after="0" w:afterAutospacing="0"/>
        <w:jc w:val="right"/>
        <w:rPr>
          <w:lang w:val="fr-FR"/>
        </w:rPr>
      </w:pPr>
      <w:r w:rsidRPr="00F3270D">
        <w:rPr>
          <w:rFonts w:cstheme="minorBidi"/>
          <w:i/>
          <w:iCs/>
          <w:color w:val="000000" w:themeColor="text1"/>
          <w:kern w:val="24"/>
          <w:lang w:val="fr-FR"/>
        </w:rPr>
        <w:t>sur la nomination du Directeur Général de l'OISA</w:t>
      </w:r>
      <w:r w:rsidRPr="00F3270D">
        <w:rPr>
          <w:rFonts w:eastAsiaTheme="minorEastAsia" w:cstheme="minorBidi"/>
          <w:i/>
          <w:iCs/>
          <w:color w:val="000000" w:themeColor="text1"/>
          <w:kern w:val="24"/>
          <w:lang w:val="fr-FR"/>
        </w:rPr>
        <w:t xml:space="preserve"> </w:t>
      </w:r>
    </w:p>
    <w:p w14:paraId="31B40F3F" w14:textId="38CA3C19" w:rsidR="00011BB0" w:rsidRPr="000B60DC" w:rsidRDefault="00011BB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</w:p>
    <w:p w14:paraId="4D095620" w14:textId="5CFC37B7" w:rsidR="00872720" w:rsidRPr="000B60DC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</w:p>
    <w:p w14:paraId="183470C9" w14:textId="04C6EF68" w:rsidR="00872720" w:rsidRPr="000B60DC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</w:p>
    <w:p w14:paraId="2092E753" w14:textId="7D4DCA12" w:rsidR="00872720" w:rsidRPr="000B60DC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</w:p>
    <w:p w14:paraId="0F8EC5D6" w14:textId="2BB6341C" w:rsidR="00872720" w:rsidRPr="000B60DC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</w:p>
    <w:p w14:paraId="3970F065" w14:textId="5EDB2B17" w:rsidR="00872720" w:rsidRPr="000B60DC" w:rsidRDefault="00D2768F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656EDF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E1782F9" wp14:editId="5259E972">
            <wp:simplePos x="0" y="0"/>
            <wp:positionH relativeFrom="margin">
              <wp:posOffset>-156210</wp:posOffset>
            </wp:positionH>
            <wp:positionV relativeFrom="paragraph">
              <wp:posOffset>12065</wp:posOffset>
            </wp:positionV>
            <wp:extent cx="2057400" cy="229997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37" t="-521" r="20996"/>
                    <a:stretch/>
                  </pic:blipFill>
                  <pic:spPr bwMode="auto">
                    <a:xfrm>
                      <a:off x="0" y="0"/>
                      <a:ext cx="205740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79301D" w14:textId="300CD432" w:rsidR="00872720" w:rsidRPr="000B60DC" w:rsidRDefault="00872720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</w:p>
    <w:p w14:paraId="7DB295FD" w14:textId="04972577" w:rsidR="000B60DC" w:rsidRPr="0028043B" w:rsidRDefault="007C1CE3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</w:pPr>
      <w:r w:rsidRPr="000B60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>Y</w:t>
      </w:r>
      <w:r w:rsidR="000B60DC" w:rsidRPr="000B60D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 </w:t>
      </w:r>
      <w:r w:rsidR="000B60DC" w:rsidRPr="0028043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>erlan A. Baidaulet</w:t>
      </w:r>
    </w:p>
    <w:p w14:paraId="47310B43" w14:textId="77777777" w:rsidR="000B60DC" w:rsidRPr="00F3270D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Date de naissance: 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le 7 août 1970</w:t>
      </w:r>
    </w:p>
    <w:p w14:paraId="3F89E906" w14:textId="77777777" w:rsidR="000B60DC" w:rsidRPr="00F3270D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Nationalité: 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Kazakhstan</w:t>
      </w:r>
    </w:p>
    <w:p w14:paraId="28BD634C" w14:textId="77777777" w:rsidR="000B60DC" w:rsidRPr="0028043B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</w:pPr>
      <w:r w:rsidRPr="0028043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Etat civil: </w:t>
      </w:r>
      <w:r w:rsidRPr="0028043B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marié, 2 fils</w:t>
      </w:r>
    </w:p>
    <w:p w14:paraId="66182C9B" w14:textId="3E8133F2" w:rsidR="00011BB0" w:rsidRPr="000B60DC" w:rsidRDefault="00872720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0B60DC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br w:type="textWrapping" w:clear="all"/>
      </w:r>
    </w:p>
    <w:p w14:paraId="1D58157D" w14:textId="77777777" w:rsidR="00A36559" w:rsidRPr="000B60DC" w:rsidRDefault="00A36559" w:rsidP="00A365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0B60DC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 </w:t>
      </w:r>
    </w:p>
    <w:p w14:paraId="587B4887" w14:textId="77777777" w:rsidR="000B60DC" w:rsidRPr="00030397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</w:pPr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>Éducation:</w:t>
      </w:r>
    </w:p>
    <w:p w14:paraId="0C9A3BB0" w14:textId="77777777" w:rsidR="000B60DC" w:rsidRPr="00F3270D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1987-1992 - 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BC en histoire et économie politique (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d</w:t>
      </w:r>
      <w:r w:rsidRPr="0028043B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iplôme avec mention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),</w:t>
      </w:r>
    </w:p>
    <w:p w14:paraId="13F07DD8" w14:textId="77777777" w:rsidR="000B60DC" w:rsidRPr="00F3270D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Université nationale Farabi Kazakhstan, Almaty, Kazakhstan</w:t>
      </w:r>
    </w:p>
    <w:p w14:paraId="0C189612" w14:textId="77777777" w:rsidR="000B60DC" w:rsidRPr="00F3270D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1992-1993 - 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thèse de doctorat (troisième cycle) à l'Institut économique de</w:t>
      </w:r>
    </w:p>
    <w:p w14:paraId="2641F8C6" w14:textId="77777777" w:rsidR="000B60DC" w:rsidRPr="00F3270D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Académie des sciences du Kazakhstan (08.00.01 - Économie politique)</w:t>
      </w:r>
    </w:p>
    <w:p w14:paraId="4BF17B4D" w14:textId="77777777" w:rsidR="000B60DC" w:rsidRPr="00F3270D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1993-1994 - 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Programme de troisième cycle MAPOW, Université de Saint-Gall (certificat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 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avec le stage au Credit Suisse), Suisse.</w:t>
      </w:r>
    </w:p>
    <w:p w14:paraId="0A141BBB" w14:textId="77777777" w:rsidR="000B60DC" w:rsidRPr="00030397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1995-1997 - 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MBA en banque et finance, université KIMEP, Almaty</w:t>
      </w:r>
      <w:r w:rsidRPr="00030397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.</w:t>
      </w:r>
    </w:p>
    <w:p w14:paraId="407897D8" w14:textId="77777777" w:rsidR="000B60DC" w:rsidRPr="00030397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030397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 </w:t>
      </w:r>
    </w:p>
    <w:p w14:paraId="6D661B2C" w14:textId="77777777" w:rsidR="000B60DC" w:rsidRPr="00030397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</w:pPr>
      <w:proofErr w:type="spellStart"/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>Expérience</w:t>
      </w:r>
      <w:proofErr w:type="spellEnd"/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 w:eastAsia="ru-RU"/>
        </w:rPr>
        <w:t xml:space="preserve"> de travail:</w:t>
      </w:r>
    </w:p>
    <w:p w14:paraId="012D61CC" w14:textId="77777777" w:rsidR="000B60DC" w:rsidRPr="00F3270D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1993-1994 - Administration de la ville de Talgar (Almaty), assistant du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G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ouverneur.</w:t>
      </w:r>
    </w:p>
    <w:p w14:paraId="450D777F" w14:textId="77777777" w:rsidR="000B60DC" w:rsidRPr="00F3270D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1994-2000 - Postes de conseil et de gestion dans des sociétés privées locales (JSC Alemsystem, JSC EximBank, Centre de développement économique Suisse-Kazakhstan SA, IMPEX International, ProfitInvest SA)</w:t>
      </w:r>
    </w:p>
    <w:p w14:paraId="30AE194F" w14:textId="77777777" w:rsidR="000B60DC" w:rsidRPr="00F3270D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2001-2005 - Groupe de la BID,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R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eprésentant sur le terrain au Kazakhstan.</w:t>
      </w:r>
    </w:p>
    <w:p w14:paraId="220DA64C" w14:textId="77777777" w:rsidR="000B60DC" w:rsidRPr="00F3270D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2005-2006 - Centre de transfert d’ingénierie et de technologie de la société d’État JSC,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P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résident</w:t>
      </w:r>
    </w:p>
    <w:p w14:paraId="00B166BD" w14:textId="77777777" w:rsidR="000B60DC" w:rsidRPr="00F3270D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2006-2010 - Banque eurasienne de développement,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C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hef du bureau de représentation à Astana.</w:t>
      </w:r>
    </w:p>
    <w:p w14:paraId="30BF0BD2" w14:textId="77777777" w:rsidR="000B60DC" w:rsidRPr="00F3270D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2010-2019 - </w:t>
      </w:r>
      <w:r w:rsidRPr="0028043B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Ministère des investissements et du développement du Kazakhstan, conseiller auprès du ministre (chargé de la coopération avec les pays membres de l'OCI), exerçant les fonctions suivantes: JSC KAZNEX </w:t>
      </w:r>
      <w:r w:rsidRPr="0028043B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lastRenderedPageBreak/>
        <w:t>INVEST (2010-2016) (directeur général, représentant spécial pour la coopération avec la BID), Directeur exécutif de la BID en charge de 7 pays membres de la BID (2011-2014), Gouverneur par intérim de la BID (39e et 41e assemblées annuelles de la BID (Mozambique / Indonésie), Envoyé spécial ministériel pour les exportations de biens industriels vers les pays membres de l'OCI, JSC KazGeology, Conseiller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.</w:t>
      </w:r>
    </w:p>
    <w:p w14:paraId="2C3542BF" w14:textId="77777777" w:rsidR="000B60DC" w:rsidRPr="00F3270D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 Novembre 2018 - avril 2019 - Le Conseil d'experts par le Conseil de sécurité du Kazakhstan,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E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xpert principal en sécurité alimentaire.</w:t>
      </w:r>
    </w:p>
    <w:p w14:paraId="124E54FF" w14:textId="77777777" w:rsidR="000B60DC" w:rsidRPr="00F3270D" w:rsidRDefault="000B60DC" w:rsidP="000B60DC">
      <w:pPr>
        <w:pStyle w:val="a3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M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ai 2019 - actuellement directeur général par intérim, Organisation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I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slamique pour la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S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écurité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A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limentaire, par l'OCI, siège à Nur-Sultan, Kazakhstan.</w:t>
      </w:r>
    </w:p>
    <w:p w14:paraId="621F6DEC" w14:textId="77777777" w:rsidR="000B60DC" w:rsidRPr="00030397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</w:pPr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Publications /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>livres</w:t>
      </w:r>
      <w:r w:rsidRPr="0003039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>:</w:t>
      </w:r>
    </w:p>
    <w:p w14:paraId="6AC8F087" w14:textId="77777777" w:rsidR="000B60DC" w:rsidRPr="00C74C88" w:rsidRDefault="000B60DC" w:rsidP="000B60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Articles sur la finance islamique (Business Islamica (№ 7, 2010), R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ap</w:t>
      </w: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port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sur la </w:t>
      </w: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Global F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I</w:t>
      </w: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 2011 (Royaume-Uni), Manuel de Willey sur la finance islamique dans le monde 2014 (RedMoney Group, KL), interviews de ThompsonReutors, Bloomberg et des médias kazakhs.</w:t>
      </w:r>
    </w:p>
    <w:p w14:paraId="39C061E1" w14:textId="77777777" w:rsidR="000B60DC" w:rsidRPr="00C74C88" w:rsidRDefault="000B60DC" w:rsidP="000B60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Propres livres: 2010 («Les bases de la finance islamique (éthique)» (publié en russe, kazakh et ouzbek), 2016 («La finance islamique: théorie, pratique et questions de réglementation»).</w:t>
      </w:r>
    </w:p>
    <w:p w14:paraId="2477D1E0" w14:textId="77777777" w:rsidR="000B60DC" w:rsidRPr="00F3270D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C74C8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>Activités publiques / récompenses</w:t>
      </w:r>
      <w:r w:rsidRPr="00F3270D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:</w:t>
      </w:r>
    </w:p>
    <w:p w14:paraId="23BB4FC0" w14:textId="77777777" w:rsidR="000B60DC" w:rsidRPr="00C74C88" w:rsidRDefault="000B60DC" w:rsidP="000B60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Président de l'Association pour le développement de la finance islamique (2010-2015)</w:t>
      </w:r>
    </w:p>
    <w:p w14:paraId="63EF3644" w14:textId="77777777" w:rsidR="000B60DC" w:rsidRPr="00C74C88" w:rsidRDefault="000B60DC" w:rsidP="000B60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Chef du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C</w:t>
      </w: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omité d'organisation de la conférence sur la finance islamique au Kazakhstan (2010-2014).</w:t>
      </w:r>
    </w:p>
    <w:p w14:paraId="6B01AD69" w14:textId="77777777" w:rsidR="000B60DC" w:rsidRPr="00C74C88" w:rsidRDefault="000B60DC" w:rsidP="000B60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Coprésident du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G</w:t>
      </w: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roupe de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T</w:t>
      </w: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ravail interministériel sur l'élaboration et la mise en œuvre de la feuille de route sur le développement de la finance islamique à l'horizon 2020 (2011-2017).</w:t>
      </w:r>
    </w:p>
    <w:p w14:paraId="3A6685C3" w14:textId="77777777" w:rsidR="000B60DC" w:rsidRPr="00C74C88" w:rsidRDefault="000B60DC" w:rsidP="000B60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 xml:space="preserve">Conseiller en finances islamiques auprès du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P</w:t>
      </w: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résident de l'Association internationale des entreprises islamiques IAIB (Moscou (2018-2019) / Président du conseil d'administration de l'IAIB-Kazakhstan (2018-2019).</w:t>
      </w:r>
    </w:p>
    <w:p w14:paraId="0A2663FB" w14:textId="77777777" w:rsidR="000B60DC" w:rsidRPr="00C74C88" w:rsidRDefault="000B60DC" w:rsidP="000B60D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Prize Prix spécial mondial 2015 sur la finance islamique (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R</w:t>
      </w:r>
      <w:r w:rsidRPr="00C74C88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ôle de leadership) pour la contribution au développement de l'industrie mondiale de la finance islamique (attribué à Bahreïn par le comité GIFA du Royaume-Uni) (https://en.wikipedia.org/wiki/Global_Islamic_Finance_Awards).</w:t>
      </w:r>
    </w:p>
    <w:p w14:paraId="7DD65B5D" w14:textId="77777777" w:rsidR="000B60DC" w:rsidRPr="00030397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030397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 </w:t>
      </w:r>
    </w:p>
    <w:p w14:paraId="237BEE0E" w14:textId="77777777" w:rsidR="000B60DC" w:rsidRPr="000B60DC" w:rsidRDefault="000B60DC" w:rsidP="000B6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</w:pPr>
      <w:r w:rsidRPr="00F327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fr-FR" w:eastAsia="ru-RU"/>
        </w:rPr>
        <w:t xml:space="preserve">Langues: </w:t>
      </w:r>
      <w:r w:rsidRPr="000B60DC">
        <w:rPr>
          <w:rFonts w:ascii="Times New Roman" w:eastAsia="Times New Roman" w:hAnsi="Times New Roman" w:cs="Times New Roman"/>
          <w:color w:val="222222"/>
          <w:sz w:val="28"/>
          <w:szCs w:val="28"/>
          <w:lang w:val="fr-FR" w:eastAsia="ru-RU"/>
        </w:rPr>
        <w:t>Kazakh, Russe, Anglais, Allemand.</w:t>
      </w:r>
      <w:bookmarkStart w:id="0" w:name="_GoBack"/>
      <w:bookmarkEnd w:id="0"/>
    </w:p>
    <w:p w14:paraId="3067FF4A" w14:textId="77777777" w:rsidR="00A97089" w:rsidRPr="000B60DC" w:rsidRDefault="00A97089">
      <w:pPr>
        <w:rPr>
          <w:rFonts w:ascii="Times New Roman" w:hAnsi="Times New Roman" w:cs="Times New Roman"/>
          <w:sz w:val="28"/>
          <w:szCs w:val="28"/>
          <w:lang w:val="fr-FR"/>
        </w:rPr>
      </w:pPr>
    </w:p>
    <w:sectPr w:rsidR="00A97089" w:rsidRPr="000B6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25764"/>
    <w:multiLevelType w:val="hybridMultilevel"/>
    <w:tmpl w:val="D2966F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A5499"/>
    <w:multiLevelType w:val="hybridMultilevel"/>
    <w:tmpl w:val="51C8C1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E4942"/>
    <w:multiLevelType w:val="hybridMultilevel"/>
    <w:tmpl w:val="58E6E8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59"/>
    <w:rsid w:val="00011BB0"/>
    <w:rsid w:val="000B60DC"/>
    <w:rsid w:val="00502DBE"/>
    <w:rsid w:val="00656EDF"/>
    <w:rsid w:val="007C1CE3"/>
    <w:rsid w:val="00872720"/>
    <w:rsid w:val="00A1363C"/>
    <w:rsid w:val="00A36559"/>
    <w:rsid w:val="00A97089"/>
    <w:rsid w:val="00C64F04"/>
    <w:rsid w:val="00CB7A31"/>
    <w:rsid w:val="00D2768F"/>
    <w:rsid w:val="00EA1107"/>
    <w:rsid w:val="00EF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5A03"/>
  <w15:chartTrackingRefBased/>
  <w15:docId w15:val="{F8A360D1-1026-4CE5-8DFB-F4652CAF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7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3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 ww</dc:creator>
  <cp:keywords/>
  <dc:description/>
  <cp:lastModifiedBy>WW</cp:lastModifiedBy>
  <cp:revision>2</cp:revision>
  <dcterms:created xsi:type="dcterms:W3CDTF">2019-08-21T13:21:00Z</dcterms:created>
  <dcterms:modified xsi:type="dcterms:W3CDTF">2019-08-21T13:21:00Z</dcterms:modified>
</cp:coreProperties>
</file>