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99EC7" w14:textId="410F5A81" w:rsidR="00E9183C" w:rsidRDefault="0048254C" w:rsidP="00357E68">
      <w:pPr>
        <w:pStyle w:val="a3"/>
        <w:spacing w:before="0" w:beforeAutospacing="0" w:after="0" w:afterAutospacing="0"/>
        <w:jc w:val="right"/>
        <w:rPr>
          <w:rFonts w:cstheme="minorBidi"/>
          <w:i/>
          <w:iCs/>
          <w:color w:val="000000" w:themeColor="text1"/>
          <w:kern w:val="24"/>
          <w:lang w:val="kk-KZ"/>
        </w:rPr>
      </w:pPr>
      <w:r>
        <w:rPr>
          <w:rFonts w:cstheme="minorBidi"/>
          <w:i/>
          <w:iCs/>
          <w:noProof/>
          <w:color w:val="000000" w:themeColor="text1"/>
          <w:kern w:val="24"/>
          <w:lang w:val="en-US"/>
        </w:rPr>
        <w:drawing>
          <wp:anchor distT="152400" distB="152400" distL="152400" distR="152400" simplePos="0" relativeHeight="251658240" behindDoc="0" locked="0" layoutInCell="1" allowOverlap="1" wp14:anchorId="60F8E918" wp14:editId="0540A86A">
            <wp:simplePos x="0" y="0"/>
            <wp:positionH relativeFrom="margin">
              <wp:posOffset>-158115</wp:posOffset>
            </wp:positionH>
            <wp:positionV relativeFrom="page">
              <wp:posOffset>436880</wp:posOffset>
            </wp:positionV>
            <wp:extent cx="1470660" cy="1470660"/>
            <wp:effectExtent l="0" t="0" r="0" b="0"/>
            <wp:wrapThrough wrapText="bothSides">
              <wp:wrapPolygon edited="0">
                <wp:start x="0" y="0"/>
                <wp:lineTo x="0" y="21264"/>
                <wp:lineTo x="21264" y="21264"/>
                <wp:lineTo x="21264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0B0C47" w14:textId="77777777" w:rsidR="00E9183C" w:rsidRDefault="00E9183C" w:rsidP="00357E68">
      <w:pPr>
        <w:pStyle w:val="a3"/>
        <w:spacing w:before="0" w:beforeAutospacing="0" w:after="0" w:afterAutospacing="0"/>
        <w:jc w:val="right"/>
        <w:rPr>
          <w:rFonts w:cstheme="minorBidi"/>
          <w:i/>
          <w:iCs/>
          <w:color w:val="000000" w:themeColor="text1"/>
          <w:kern w:val="24"/>
          <w:lang w:val="kk-KZ"/>
        </w:rPr>
      </w:pPr>
    </w:p>
    <w:p w14:paraId="6FA1CCD7" w14:textId="6D3CF189" w:rsidR="00357E68" w:rsidRPr="00416BF5" w:rsidRDefault="00357E68" w:rsidP="00416BF5">
      <w:pPr>
        <w:pStyle w:val="a3"/>
        <w:spacing w:before="0" w:beforeAutospacing="0" w:after="0" w:afterAutospacing="0"/>
        <w:jc w:val="right"/>
        <w:rPr>
          <w:lang w:val="fr-FR"/>
        </w:rPr>
      </w:pPr>
      <w:r w:rsidRPr="00416BF5">
        <w:rPr>
          <w:rFonts w:cstheme="minorBidi"/>
          <w:i/>
          <w:iCs/>
          <w:color w:val="000000" w:themeColor="text1"/>
          <w:kern w:val="24"/>
          <w:lang w:val="fr-FR"/>
        </w:rPr>
        <w:t>Annex</w:t>
      </w:r>
    </w:p>
    <w:p w14:paraId="2D3C4938" w14:textId="77777777" w:rsidR="00357E68" w:rsidRPr="00416BF5" w:rsidRDefault="00357E68" w:rsidP="00416BF5">
      <w:pPr>
        <w:pStyle w:val="a3"/>
        <w:spacing w:before="0" w:beforeAutospacing="0" w:after="0" w:afterAutospacing="0"/>
        <w:jc w:val="right"/>
        <w:rPr>
          <w:lang w:val="fr-FR"/>
        </w:rPr>
      </w:pPr>
      <w:r w:rsidRPr="00416BF5">
        <w:rPr>
          <w:rFonts w:cstheme="minorBidi"/>
          <w:color w:val="000000" w:themeColor="text1"/>
          <w:kern w:val="24"/>
          <w:lang w:val="fr-FR"/>
        </w:rPr>
        <w:t> </w:t>
      </w:r>
    </w:p>
    <w:p w14:paraId="72F4B027" w14:textId="77777777" w:rsidR="00416BF5" w:rsidRPr="00416BF5" w:rsidRDefault="00416BF5" w:rsidP="00416BF5">
      <w:pPr>
        <w:pStyle w:val="a3"/>
        <w:spacing w:before="0" w:beforeAutospacing="0" w:after="0" w:afterAutospacing="0"/>
        <w:jc w:val="right"/>
        <w:rPr>
          <w:rFonts w:cstheme="minorBidi"/>
          <w:i/>
          <w:iCs/>
          <w:color w:val="000000" w:themeColor="text1"/>
          <w:kern w:val="24"/>
          <w:lang w:val="fr-FR"/>
        </w:rPr>
      </w:pPr>
      <w:bookmarkStart w:id="0" w:name="_Hlk11524329"/>
      <w:r w:rsidRPr="00416BF5">
        <w:rPr>
          <w:rFonts w:cstheme="minorBidi"/>
          <w:i/>
          <w:iCs/>
          <w:color w:val="000000" w:themeColor="text1"/>
          <w:kern w:val="24"/>
          <w:lang w:val="fr-FR"/>
        </w:rPr>
        <w:t>à la résolution № IOFS / GA / 1-10-2019</w:t>
      </w:r>
    </w:p>
    <w:p w14:paraId="41013BF2" w14:textId="77777777" w:rsidR="00416BF5" w:rsidRDefault="00416BF5" w:rsidP="00416BF5">
      <w:pPr>
        <w:pStyle w:val="a3"/>
        <w:spacing w:before="0" w:beforeAutospacing="0" w:after="0" w:afterAutospacing="0"/>
        <w:jc w:val="right"/>
        <w:rPr>
          <w:rFonts w:cstheme="minorBidi"/>
          <w:i/>
          <w:iCs/>
          <w:color w:val="000000" w:themeColor="text1"/>
          <w:kern w:val="24"/>
          <w:lang w:val="fr-FR"/>
        </w:rPr>
      </w:pPr>
      <w:r w:rsidRPr="00416BF5">
        <w:rPr>
          <w:rFonts w:cstheme="minorBidi"/>
          <w:i/>
          <w:iCs/>
          <w:color w:val="000000" w:themeColor="text1"/>
          <w:kern w:val="24"/>
          <w:lang w:val="fr-FR"/>
        </w:rPr>
        <w:t xml:space="preserve">sur l'adoption du barème des contributions obligatoires </w:t>
      </w:r>
    </w:p>
    <w:p w14:paraId="3227179B" w14:textId="2E886115" w:rsidR="00094AAF" w:rsidRPr="00416BF5" w:rsidRDefault="00416BF5" w:rsidP="00416BF5">
      <w:pPr>
        <w:pStyle w:val="a3"/>
        <w:spacing w:before="0" w:beforeAutospacing="0" w:after="0" w:afterAutospacing="0"/>
        <w:jc w:val="right"/>
        <w:rPr>
          <w:rFonts w:cstheme="minorBidi"/>
          <w:i/>
          <w:iCs/>
          <w:color w:val="000000" w:themeColor="text1"/>
          <w:kern w:val="24"/>
          <w:lang w:val="fr-FR"/>
        </w:rPr>
      </w:pPr>
      <w:r w:rsidRPr="00416BF5">
        <w:rPr>
          <w:rFonts w:cstheme="minorBidi"/>
          <w:i/>
          <w:iCs/>
          <w:color w:val="000000" w:themeColor="text1"/>
          <w:kern w:val="24"/>
          <w:lang w:val="fr-FR"/>
        </w:rPr>
        <w:t>des États membres</w:t>
      </w:r>
    </w:p>
    <w:bookmarkEnd w:id="0"/>
    <w:p w14:paraId="48C9AE37" w14:textId="77777777" w:rsidR="00357E68" w:rsidRPr="00416BF5" w:rsidRDefault="00357E68" w:rsidP="003A037D">
      <w:pPr>
        <w:spacing w:before="120" w:after="120"/>
        <w:jc w:val="center"/>
        <w:rPr>
          <w:b/>
          <w:bCs/>
          <w:iCs/>
          <w:lang w:val="fr-FR"/>
        </w:rPr>
      </w:pPr>
    </w:p>
    <w:p w14:paraId="31C7A336" w14:textId="77777777" w:rsidR="00664493" w:rsidRPr="00416BF5" w:rsidRDefault="00664493" w:rsidP="003A037D">
      <w:pPr>
        <w:spacing w:before="120" w:after="120"/>
        <w:jc w:val="center"/>
        <w:rPr>
          <w:b/>
          <w:bCs/>
          <w:iCs/>
          <w:lang w:val="fr-FR"/>
        </w:rPr>
      </w:pPr>
    </w:p>
    <w:p w14:paraId="1FF84BD2" w14:textId="77777777" w:rsidR="00664493" w:rsidRPr="00416BF5" w:rsidRDefault="00664493" w:rsidP="003A037D">
      <w:pPr>
        <w:spacing w:before="120" w:after="120"/>
        <w:jc w:val="center"/>
        <w:rPr>
          <w:b/>
          <w:bCs/>
          <w:iCs/>
          <w:lang w:val="fr-FR"/>
        </w:rPr>
      </w:pPr>
    </w:p>
    <w:p w14:paraId="59AD55BB" w14:textId="2775B51D" w:rsidR="003A037D" w:rsidRDefault="00416BF5" w:rsidP="00416BF5">
      <w:pPr>
        <w:spacing w:beforeLines="60" w:before="144" w:afterLines="60" w:after="144"/>
        <w:jc w:val="center"/>
        <w:rPr>
          <w:b/>
          <w:bCs/>
          <w:iCs/>
          <w:lang w:val="fr-FR"/>
        </w:rPr>
      </w:pPr>
      <w:r w:rsidRPr="00C75DC2">
        <w:rPr>
          <w:b/>
          <w:bCs/>
          <w:iCs/>
          <w:lang w:val="fr-FR"/>
        </w:rPr>
        <w:t>NOTE EXPLICATIVE</w:t>
      </w:r>
    </w:p>
    <w:p w14:paraId="69B1DC12" w14:textId="77777777" w:rsidR="00416BF5" w:rsidRPr="00860128" w:rsidRDefault="00416BF5" w:rsidP="00416BF5">
      <w:pPr>
        <w:spacing w:beforeLines="60" w:before="144" w:afterLines="60" w:after="144"/>
        <w:jc w:val="center"/>
        <w:rPr>
          <w:lang w:val="fr-FR"/>
        </w:rPr>
      </w:pPr>
    </w:p>
    <w:p w14:paraId="72A758B9" w14:textId="77777777" w:rsidR="00E142F0" w:rsidRPr="00E142F0" w:rsidRDefault="00E142F0" w:rsidP="00E142F0">
      <w:pPr>
        <w:spacing w:beforeLines="60" w:before="144" w:afterLines="60" w:after="144"/>
        <w:jc w:val="both"/>
        <w:rPr>
          <w:lang w:val="fr-FR"/>
        </w:rPr>
      </w:pPr>
      <w:r w:rsidRPr="00E142F0">
        <w:rPr>
          <w:lang w:val="fr-FR"/>
        </w:rPr>
        <w:t>Conformément qu sous-alinéa e) de l'alinéa 1 de l'article 18 du Statut de l'OISA, les États membres sont censés contribuer au budget conformément au barème des contributions obligatoires adopté fondé sur le barème des contributions obligatoires de l'OCI.</w:t>
      </w:r>
    </w:p>
    <w:p w14:paraId="1903941D" w14:textId="77777777" w:rsidR="00E142F0" w:rsidRPr="00E142F0" w:rsidRDefault="00E142F0" w:rsidP="00E142F0">
      <w:pPr>
        <w:spacing w:beforeLines="60" w:before="144" w:afterLines="60" w:after="144"/>
        <w:jc w:val="both"/>
        <w:rPr>
          <w:lang w:val="fr-FR"/>
        </w:rPr>
      </w:pPr>
      <w:r w:rsidRPr="00E142F0">
        <w:rPr>
          <w:lang w:val="fr-FR"/>
        </w:rPr>
        <w:t>À cet égard, le secrétariat de l'OISA a demandé à l'OCI de l'aider à élaborer une méthodologie d'évaluation. L'OCI a fourni son échelle de calcul et proposé la méthodologie SESRIC. Compte tenu de la composition de l'Organisation, le barème de l'OCI a été adopté comme base.</w:t>
      </w:r>
    </w:p>
    <w:p w14:paraId="2A35C180" w14:textId="3955ED62" w:rsidR="00080BD2" w:rsidRPr="00E142F0" w:rsidRDefault="00E142F0" w:rsidP="00E142F0">
      <w:pPr>
        <w:spacing w:beforeLines="60" w:before="144" w:afterLines="60" w:after="144"/>
        <w:jc w:val="both"/>
        <w:rPr>
          <w:lang w:val="fr-FR"/>
        </w:rPr>
      </w:pPr>
      <w:r w:rsidRPr="00E142F0">
        <w:rPr>
          <w:lang w:val="fr-FR"/>
        </w:rPr>
        <w:t>Les contributions budgétaires obligatoires des États membres doivent être déterminées proportionnellement aux revenus nationaux des États membres, conformément à l'article 29-1 de la Charte de l'OCI. Le barème de l'OCI est approuvé par les États membres et considère la nécessité de payer les contributions de tous les pays membres de l'OCI</w:t>
      </w:r>
      <w:r w:rsidR="00080BD2" w:rsidRPr="00E142F0">
        <w:rPr>
          <w:lang w:val="fr-FR"/>
        </w:rPr>
        <w:t>.</w:t>
      </w:r>
    </w:p>
    <w:p w14:paraId="2027213E" w14:textId="38E4209E" w:rsidR="00473600" w:rsidRPr="00E142F0" w:rsidRDefault="00E142F0" w:rsidP="00473600">
      <w:pPr>
        <w:spacing w:beforeLines="60" w:before="144" w:afterLines="60" w:after="144"/>
        <w:jc w:val="both"/>
        <w:rPr>
          <w:b/>
          <w:bCs/>
          <w:u w:val="single"/>
          <w:lang w:val="fr-FR"/>
        </w:rPr>
      </w:pPr>
      <w:r w:rsidRPr="00E142F0">
        <w:rPr>
          <w:b/>
          <w:bCs/>
          <w:u w:val="single"/>
          <w:lang w:val="fr-FR"/>
        </w:rPr>
        <w:t xml:space="preserve">LA BASE: </w:t>
      </w:r>
      <w:r w:rsidR="00B82816" w:rsidRPr="00B82816">
        <w:rPr>
          <w:b/>
          <w:bCs/>
          <w:u w:val="single"/>
          <w:lang w:val="fr-FR"/>
        </w:rPr>
        <w:t xml:space="preserve">barème </w:t>
      </w:r>
      <w:r w:rsidRPr="00E142F0">
        <w:rPr>
          <w:b/>
          <w:bCs/>
          <w:u w:val="single"/>
          <w:lang w:val="fr-FR"/>
        </w:rPr>
        <w:t>existant de l'OCI</w:t>
      </w:r>
      <w:r w:rsidR="00473600" w:rsidRPr="00E142F0">
        <w:rPr>
          <w:b/>
          <w:bCs/>
          <w:u w:val="single"/>
          <w:lang w:val="fr-FR"/>
        </w:rPr>
        <w:t xml:space="preserve"> 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252"/>
        <w:gridCol w:w="3969"/>
      </w:tblGrid>
      <w:tr w:rsidR="00822B1E" w:rsidRPr="001467CC" w14:paraId="7D10DF40" w14:textId="77777777" w:rsidTr="00080BD2">
        <w:trPr>
          <w:trHeight w:val="232"/>
        </w:trPr>
        <w:tc>
          <w:tcPr>
            <w:tcW w:w="993" w:type="dxa"/>
          </w:tcPr>
          <w:p w14:paraId="4999F0FF" w14:textId="77777777" w:rsidR="00822B1E" w:rsidRPr="001467CC" w:rsidRDefault="00822B1E" w:rsidP="00080BD2">
            <w:pPr>
              <w:pStyle w:val="TableParagraph"/>
              <w:spacing w:before="7" w:line="205" w:lineRule="exact"/>
              <w:ind w:left="501"/>
              <w:rPr>
                <w:rFonts w:asciiTheme="majorBidi" w:hAnsiTheme="majorBidi" w:cstheme="majorBidi"/>
                <w:b/>
                <w:bCs/>
                <w:sz w:val="18"/>
              </w:rPr>
            </w:pPr>
            <w:r w:rsidRPr="001467CC">
              <w:rPr>
                <w:rFonts w:asciiTheme="majorBidi" w:hAnsiTheme="majorBidi" w:cstheme="majorBidi"/>
                <w:b/>
                <w:bCs/>
                <w:w w:val="105"/>
                <w:sz w:val="18"/>
              </w:rPr>
              <w:t>No.</w:t>
            </w:r>
          </w:p>
        </w:tc>
        <w:tc>
          <w:tcPr>
            <w:tcW w:w="4252" w:type="dxa"/>
          </w:tcPr>
          <w:p w14:paraId="31BF3D54" w14:textId="7E8B34A5" w:rsidR="00822B1E" w:rsidRPr="00473600" w:rsidRDefault="00E142F0" w:rsidP="00E9183C">
            <w:pPr>
              <w:pStyle w:val="TableParagraph"/>
              <w:spacing w:before="7" w:line="205" w:lineRule="exact"/>
              <w:ind w:left="144"/>
              <w:jc w:val="center"/>
              <w:rPr>
                <w:rFonts w:asciiTheme="majorBidi" w:hAnsiTheme="majorBidi" w:cstheme="majorBidi"/>
                <w:b/>
                <w:bCs/>
                <w:sz w:val="18"/>
              </w:rPr>
            </w:pPr>
            <w:r w:rsidRPr="00E142F0">
              <w:rPr>
                <w:rFonts w:asciiTheme="majorBidi" w:hAnsiTheme="majorBidi" w:cstheme="majorBidi"/>
                <w:b/>
                <w:bCs/>
                <w:w w:val="105"/>
                <w:sz w:val="18"/>
              </w:rPr>
              <w:t>États membres de l'OCI</w:t>
            </w:r>
          </w:p>
        </w:tc>
        <w:tc>
          <w:tcPr>
            <w:tcW w:w="3969" w:type="dxa"/>
          </w:tcPr>
          <w:p w14:paraId="10A09F6D" w14:textId="78672E42" w:rsidR="00822B1E" w:rsidRPr="00E142F0" w:rsidRDefault="00E142F0" w:rsidP="00E9183C">
            <w:pPr>
              <w:pStyle w:val="TableParagraph"/>
              <w:spacing w:before="7" w:line="205" w:lineRule="exact"/>
              <w:ind w:left="37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E142F0">
              <w:rPr>
                <w:sz w:val="18"/>
                <w:szCs w:val="18"/>
                <w:lang w:val="fr-FR"/>
              </w:rPr>
              <w:t>barème</w:t>
            </w:r>
            <w:r w:rsidR="00473600" w:rsidRPr="00E142F0">
              <w:rPr>
                <w:rFonts w:asciiTheme="majorBidi" w:hAnsiTheme="majorBidi" w:cstheme="majorBidi"/>
                <w:b/>
                <w:bCs/>
                <w:w w:val="105"/>
                <w:sz w:val="18"/>
                <w:szCs w:val="18"/>
                <w:lang w:val="kk-KZ"/>
              </w:rPr>
              <w:t xml:space="preserve"> </w:t>
            </w:r>
            <w:r w:rsidR="00473600" w:rsidRPr="00E142F0">
              <w:rPr>
                <w:rFonts w:asciiTheme="majorBidi" w:hAnsiTheme="majorBidi" w:cstheme="majorBidi"/>
                <w:b/>
                <w:bCs/>
                <w:w w:val="105"/>
                <w:sz w:val="18"/>
                <w:szCs w:val="18"/>
              </w:rPr>
              <w:t>(</w:t>
            </w:r>
            <w:r w:rsidR="00822B1E" w:rsidRPr="00E142F0">
              <w:rPr>
                <w:rFonts w:asciiTheme="majorBidi" w:hAnsiTheme="majorBidi" w:cstheme="majorBidi"/>
                <w:b/>
                <w:bCs/>
                <w:w w:val="105"/>
                <w:sz w:val="18"/>
                <w:szCs w:val="18"/>
              </w:rPr>
              <w:t>%)</w:t>
            </w:r>
          </w:p>
        </w:tc>
      </w:tr>
      <w:tr w:rsidR="00B82816" w:rsidRPr="005F577E" w14:paraId="4E6AC174" w14:textId="77777777" w:rsidTr="00080BD2">
        <w:trPr>
          <w:trHeight w:val="266"/>
        </w:trPr>
        <w:tc>
          <w:tcPr>
            <w:tcW w:w="993" w:type="dxa"/>
          </w:tcPr>
          <w:p w14:paraId="0B51A578" w14:textId="77777777" w:rsidR="00B82816" w:rsidRPr="005F577E" w:rsidRDefault="00B82816" w:rsidP="00B82816">
            <w:pPr>
              <w:pStyle w:val="TableParagraph"/>
              <w:spacing w:before="33" w:line="213" w:lineRule="exact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1.</w:t>
            </w:r>
          </w:p>
        </w:tc>
        <w:tc>
          <w:tcPr>
            <w:tcW w:w="4252" w:type="dxa"/>
          </w:tcPr>
          <w:p w14:paraId="5645B2F3" w14:textId="4673F176" w:rsidR="00B82816" w:rsidRPr="005F577E" w:rsidRDefault="00B82816" w:rsidP="00B82816">
            <w:pPr>
              <w:pStyle w:val="TableParagraph"/>
              <w:spacing w:before="33" w:line="213" w:lineRule="exact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Afghanistan</w:t>
            </w:r>
          </w:p>
        </w:tc>
        <w:tc>
          <w:tcPr>
            <w:tcW w:w="3969" w:type="dxa"/>
          </w:tcPr>
          <w:p w14:paraId="4AEF039F" w14:textId="37DD217C" w:rsidR="00B82816" w:rsidRPr="005F577E" w:rsidRDefault="00B82816" w:rsidP="00B82816">
            <w:pPr>
              <w:pStyle w:val="TableParagraph"/>
              <w:spacing w:before="33" w:line="213" w:lineRule="exact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547850CC" w14:textId="77777777" w:rsidTr="00080BD2">
        <w:trPr>
          <w:trHeight w:val="266"/>
        </w:trPr>
        <w:tc>
          <w:tcPr>
            <w:tcW w:w="993" w:type="dxa"/>
          </w:tcPr>
          <w:p w14:paraId="708C5F0C" w14:textId="77777777" w:rsidR="00B82816" w:rsidRPr="005F577E" w:rsidRDefault="00B82816" w:rsidP="00B82816">
            <w:pPr>
              <w:pStyle w:val="TableParagraph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2.</w:t>
            </w:r>
          </w:p>
        </w:tc>
        <w:tc>
          <w:tcPr>
            <w:tcW w:w="4252" w:type="dxa"/>
          </w:tcPr>
          <w:p w14:paraId="54273C61" w14:textId="5C6E1AB2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Albania</w:t>
            </w:r>
          </w:p>
        </w:tc>
        <w:tc>
          <w:tcPr>
            <w:tcW w:w="3969" w:type="dxa"/>
          </w:tcPr>
          <w:p w14:paraId="00443A2C" w14:textId="1B823651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529453AE" w14:textId="77777777" w:rsidTr="00080BD2">
        <w:trPr>
          <w:trHeight w:val="267"/>
        </w:trPr>
        <w:tc>
          <w:tcPr>
            <w:tcW w:w="993" w:type="dxa"/>
          </w:tcPr>
          <w:p w14:paraId="26C07F66" w14:textId="77777777" w:rsidR="00B82816" w:rsidRPr="005F577E" w:rsidRDefault="00B82816" w:rsidP="00B82816">
            <w:pPr>
              <w:pStyle w:val="TableParagraph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3.</w:t>
            </w:r>
          </w:p>
        </w:tc>
        <w:tc>
          <w:tcPr>
            <w:tcW w:w="4252" w:type="dxa"/>
          </w:tcPr>
          <w:p w14:paraId="41E43363" w14:textId="2B694D2E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Algeria</w:t>
            </w:r>
          </w:p>
        </w:tc>
        <w:tc>
          <w:tcPr>
            <w:tcW w:w="3969" w:type="dxa"/>
          </w:tcPr>
          <w:p w14:paraId="6A9433CE" w14:textId="2686E835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3.00</w:t>
            </w:r>
          </w:p>
        </w:tc>
      </w:tr>
      <w:tr w:rsidR="00B82816" w:rsidRPr="005F577E" w14:paraId="1EDB8576" w14:textId="77777777" w:rsidTr="00080BD2">
        <w:trPr>
          <w:trHeight w:val="264"/>
        </w:trPr>
        <w:tc>
          <w:tcPr>
            <w:tcW w:w="993" w:type="dxa"/>
          </w:tcPr>
          <w:p w14:paraId="1F5B1EFE" w14:textId="77777777" w:rsidR="00B82816" w:rsidRPr="005F577E" w:rsidRDefault="00B82816" w:rsidP="00B82816">
            <w:pPr>
              <w:pStyle w:val="TableParagraph"/>
              <w:spacing w:before="5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4.</w:t>
            </w:r>
          </w:p>
        </w:tc>
        <w:tc>
          <w:tcPr>
            <w:tcW w:w="4252" w:type="dxa"/>
          </w:tcPr>
          <w:p w14:paraId="05C0B584" w14:textId="74B5D947" w:rsidR="00B82816" w:rsidRPr="005F577E" w:rsidRDefault="00B82816" w:rsidP="00B82816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Azerbaijan</w:t>
            </w:r>
          </w:p>
        </w:tc>
        <w:tc>
          <w:tcPr>
            <w:tcW w:w="3969" w:type="dxa"/>
          </w:tcPr>
          <w:p w14:paraId="4D00481E" w14:textId="3C45EB02" w:rsidR="00B82816" w:rsidRPr="005F577E" w:rsidRDefault="00B82816" w:rsidP="00B82816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1.00</w:t>
            </w:r>
          </w:p>
        </w:tc>
      </w:tr>
      <w:tr w:rsidR="00B82816" w:rsidRPr="005F577E" w14:paraId="72097451" w14:textId="77777777" w:rsidTr="00080BD2">
        <w:trPr>
          <w:trHeight w:val="268"/>
        </w:trPr>
        <w:tc>
          <w:tcPr>
            <w:tcW w:w="993" w:type="dxa"/>
          </w:tcPr>
          <w:p w14:paraId="669BBC2F" w14:textId="77777777" w:rsidR="00B82816" w:rsidRPr="005F577E" w:rsidRDefault="00B82816" w:rsidP="00B82816">
            <w:pPr>
              <w:pStyle w:val="TableParagraph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5.</w:t>
            </w:r>
          </w:p>
        </w:tc>
        <w:tc>
          <w:tcPr>
            <w:tcW w:w="4252" w:type="dxa"/>
          </w:tcPr>
          <w:p w14:paraId="7F8F3960" w14:textId="27317186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Bahrain</w:t>
            </w:r>
          </w:p>
        </w:tc>
        <w:tc>
          <w:tcPr>
            <w:tcW w:w="3969" w:type="dxa"/>
          </w:tcPr>
          <w:p w14:paraId="34992411" w14:textId="6D343FCC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1.00</w:t>
            </w:r>
          </w:p>
        </w:tc>
      </w:tr>
      <w:tr w:rsidR="00B82816" w:rsidRPr="005F577E" w14:paraId="11784B93" w14:textId="77777777" w:rsidTr="00080BD2">
        <w:trPr>
          <w:trHeight w:val="264"/>
        </w:trPr>
        <w:tc>
          <w:tcPr>
            <w:tcW w:w="993" w:type="dxa"/>
          </w:tcPr>
          <w:p w14:paraId="6FC046F3" w14:textId="77777777" w:rsidR="00B82816" w:rsidRPr="005F577E" w:rsidRDefault="00B82816" w:rsidP="00B82816">
            <w:pPr>
              <w:pStyle w:val="TableParagraph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6.</w:t>
            </w:r>
          </w:p>
        </w:tc>
        <w:tc>
          <w:tcPr>
            <w:tcW w:w="4252" w:type="dxa"/>
          </w:tcPr>
          <w:p w14:paraId="3E6EDE79" w14:textId="42DC52EA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Bangladesh</w:t>
            </w:r>
          </w:p>
        </w:tc>
        <w:tc>
          <w:tcPr>
            <w:tcW w:w="3969" w:type="dxa"/>
          </w:tcPr>
          <w:p w14:paraId="3E59AE16" w14:textId="6C64EB2F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1.00</w:t>
            </w:r>
          </w:p>
        </w:tc>
      </w:tr>
      <w:tr w:rsidR="00B82816" w:rsidRPr="005F577E" w14:paraId="0F536B86" w14:textId="77777777" w:rsidTr="00080BD2">
        <w:trPr>
          <w:trHeight w:val="267"/>
        </w:trPr>
        <w:tc>
          <w:tcPr>
            <w:tcW w:w="993" w:type="dxa"/>
          </w:tcPr>
          <w:p w14:paraId="4EF8081D" w14:textId="77777777" w:rsidR="00B82816" w:rsidRPr="005F577E" w:rsidRDefault="00B82816" w:rsidP="00B82816">
            <w:pPr>
              <w:pStyle w:val="TableParagraph"/>
              <w:spacing w:before="5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7.</w:t>
            </w:r>
          </w:p>
        </w:tc>
        <w:tc>
          <w:tcPr>
            <w:tcW w:w="4252" w:type="dxa"/>
          </w:tcPr>
          <w:p w14:paraId="1C5C25D7" w14:textId="5BD9E1AE" w:rsidR="00B82816" w:rsidRPr="005F577E" w:rsidRDefault="00B82816" w:rsidP="00B82816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Benin</w:t>
            </w:r>
          </w:p>
        </w:tc>
        <w:tc>
          <w:tcPr>
            <w:tcW w:w="3969" w:type="dxa"/>
          </w:tcPr>
          <w:p w14:paraId="162472C3" w14:textId="1A4CE6D7" w:rsidR="00B82816" w:rsidRPr="005F577E" w:rsidRDefault="00B82816" w:rsidP="00B82816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09867342" w14:textId="77777777" w:rsidTr="00080BD2">
        <w:trPr>
          <w:trHeight w:val="266"/>
        </w:trPr>
        <w:tc>
          <w:tcPr>
            <w:tcW w:w="993" w:type="dxa"/>
          </w:tcPr>
          <w:p w14:paraId="0E50AE80" w14:textId="77777777" w:rsidR="00B82816" w:rsidRPr="005F577E" w:rsidRDefault="00B82816" w:rsidP="00B82816">
            <w:pPr>
              <w:pStyle w:val="TableParagraph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8.</w:t>
            </w:r>
          </w:p>
        </w:tc>
        <w:tc>
          <w:tcPr>
            <w:tcW w:w="4252" w:type="dxa"/>
          </w:tcPr>
          <w:p w14:paraId="48432E87" w14:textId="2FFD2755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Brunei</w:t>
            </w:r>
          </w:p>
        </w:tc>
        <w:tc>
          <w:tcPr>
            <w:tcW w:w="3969" w:type="dxa"/>
          </w:tcPr>
          <w:p w14:paraId="545CDC90" w14:textId="67DFB436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3.50</w:t>
            </w:r>
          </w:p>
        </w:tc>
      </w:tr>
      <w:tr w:rsidR="00B82816" w:rsidRPr="005F577E" w14:paraId="22236E27" w14:textId="77777777" w:rsidTr="00080BD2">
        <w:trPr>
          <w:trHeight w:val="267"/>
        </w:trPr>
        <w:tc>
          <w:tcPr>
            <w:tcW w:w="993" w:type="dxa"/>
          </w:tcPr>
          <w:p w14:paraId="06005085" w14:textId="77777777" w:rsidR="00B82816" w:rsidRPr="005F577E" w:rsidRDefault="00B82816" w:rsidP="00B82816">
            <w:pPr>
              <w:pStyle w:val="TableParagraph"/>
              <w:ind w:left="458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9.</w:t>
            </w:r>
          </w:p>
        </w:tc>
        <w:tc>
          <w:tcPr>
            <w:tcW w:w="4252" w:type="dxa"/>
          </w:tcPr>
          <w:p w14:paraId="551DB1DE" w14:textId="1097F4B6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Burkina Faso</w:t>
            </w:r>
          </w:p>
        </w:tc>
        <w:tc>
          <w:tcPr>
            <w:tcW w:w="3969" w:type="dxa"/>
          </w:tcPr>
          <w:p w14:paraId="6F3D6A49" w14:textId="2D9DF906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4052B5A1" w14:textId="77777777" w:rsidTr="00080BD2">
        <w:trPr>
          <w:trHeight w:val="264"/>
        </w:trPr>
        <w:tc>
          <w:tcPr>
            <w:tcW w:w="993" w:type="dxa"/>
          </w:tcPr>
          <w:p w14:paraId="44459CEB" w14:textId="77777777" w:rsidR="00B82816" w:rsidRPr="005F577E" w:rsidRDefault="00B82816" w:rsidP="00B82816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10.</w:t>
            </w:r>
          </w:p>
        </w:tc>
        <w:tc>
          <w:tcPr>
            <w:tcW w:w="4252" w:type="dxa"/>
          </w:tcPr>
          <w:p w14:paraId="3DA1B98A" w14:textId="32A90FA5" w:rsidR="00B82816" w:rsidRPr="005F577E" w:rsidRDefault="00B82816" w:rsidP="00B82816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Cameroun</w:t>
            </w:r>
          </w:p>
        </w:tc>
        <w:tc>
          <w:tcPr>
            <w:tcW w:w="3969" w:type="dxa"/>
          </w:tcPr>
          <w:p w14:paraId="0057B8A1" w14:textId="514B1128" w:rsidR="00B82816" w:rsidRPr="005F577E" w:rsidRDefault="00B82816" w:rsidP="00B82816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153F05F6" w14:textId="77777777" w:rsidTr="00080BD2">
        <w:trPr>
          <w:trHeight w:val="268"/>
        </w:trPr>
        <w:tc>
          <w:tcPr>
            <w:tcW w:w="993" w:type="dxa"/>
          </w:tcPr>
          <w:p w14:paraId="400EC3B9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11.</w:t>
            </w:r>
          </w:p>
        </w:tc>
        <w:tc>
          <w:tcPr>
            <w:tcW w:w="4252" w:type="dxa"/>
          </w:tcPr>
          <w:p w14:paraId="11775718" w14:textId="2F077694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Chad</w:t>
            </w:r>
          </w:p>
        </w:tc>
        <w:tc>
          <w:tcPr>
            <w:tcW w:w="3969" w:type="dxa"/>
          </w:tcPr>
          <w:p w14:paraId="2A54E0C1" w14:textId="1E9CEE20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6B603C56" w14:textId="77777777" w:rsidTr="00080BD2">
        <w:trPr>
          <w:trHeight w:val="264"/>
        </w:trPr>
        <w:tc>
          <w:tcPr>
            <w:tcW w:w="993" w:type="dxa"/>
          </w:tcPr>
          <w:p w14:paraId="2DD46A89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12.</w:t>
            </w:r>
          </w:p>
        </w:tc>
        <w:tc>
          <w:tcPr>
            <w:tcW w:w="4252" w:type="dxa"/>
          </w:tcPr>
          <w:p w14:paraId="4907DE23" w14:textId="04D8C295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>
              <w:rPr>
                <w:rFonts w:ascii="Times New Roman" w:hAnsi="Times New Roman" w:cs="Times New Roman"/>
                <w:w w:val="105"/>
                <w:sz w:val="18"/>
                <w:szCs w:val="18"/>
              </w:rPr>
              <w:t xml:space="preserve">Les </w:t>
            </w: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Comores</w:t>
            </w:r>
          </w:p>
        </w:tc>
        <w:tc>
          <w:tcPr>
            <w:tcW w:w="3969" w:type="dxa"/>
          </w:tcPr>
          <w:p w14:paraId="4DE1D2C9" w14:textId="3A89090E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1BEEA119" w14:textId="77777777" w:rsidTr="00080BD2">
        <w:trPr>
          <w:trHeight w:val="267"/>
        </w:trPr>
        <w:tc>
          <w:tcPr>
            <w:tcW w:w="993" w:type="dxa"/>
          </w:tcPr>
          <w:p w14:paraId="65F7AED8" w14:textId="77777777" w:rsidR="00B82816" w:rsidRPr="005F577E" w:rsidRDefault="00B82816" w:rsidP="00B82816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13.</w:t>
            </w:r>
          </w:p>
        </w:tc>
        <w:tc>
          <w:tcPr>
            <w:tcW w:w="4252" w:type="dxa"/>
          </w:tcPr>
          <w:p w14:paraId="69FB7B31" w14:textId="7DA52957" w:rsidR="00B82816" w:rsidRPr="005F577E" w:rsidRDefault="00B82816" w:rsidP="00B82816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Djibouti</w:t>
            </w:r>
          </w:p>
        </w:tc>
        <w:tc>
          <w:tcPr>
            <w:tcW w:w="3969" w:type="dxa"/>
          </w:tcPr>
          <w:p w14:paraId="6FB20820" w14:textId="7A73F4C6" w:rsidR="00B82816" w:rsidRPr="005F577E" w:rsidRDefault="00B82816" w:rsidP="00B82816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474968BB" w14:textId="77777777" w:rsidTr="00080BD2">
        <w:trPr>
          <w:trHeight w:val="266"/>
        </w:trPr>
        <w:tc>
          <w:tcPr>
            <w:tcW w:w="993" w:type="dxa"/>
          </w:tcPr>
          <w:p w14:paraId="2CA6FE18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14.</w:t>
            </w:r>
          </w:p>
        </w:tc>
        <w:tc>
          <w:tcPr>
            <w:tcW w:w="4252" w:type="dxa"/>
          </w:tcPr>
          <w:p w14:paraId="1D6EB989" w14:textId="1CC1893C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Egypte</w:t>
            </w:r>
          </w:p>
        </w:tc>
        <w:tc>
          <w:tcPr>
            <w:tcW w:w="3969" w:type="dxa"/>
          </w:tcPr>
          <w:p w14:paraId="3BD075F1" w14:textId="58F33A9B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2.00</w:t>
            </w:r>
          </w:p>
        </w:tc>
      </w:tr>
      <w:tr w:rsidR="00B82816" w:rsidRPr="005F577E" w14:paraId="17F00039" w14:textId="77777777" w:rsidTr="00080BD2">
        <w:trPr>
          <w:trHeight w:val="266"/>
        </w:trPr>
        <w:tc>
          <w:tcPr>
            <w:tcW w:w="993" w:type="dxa"/>
          </w:tcPr>
          <w:p w14:paraId="6643A107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15.</w:t>
            </w:r>
          </w:p>
        </w:tc>
        <w:tc>
          <w:tcPr>
            <w:tcW w:w="4252" w:type="dxa"/>
          </w:tcPr>
          <w:p w14:paraId="4B85743E" w14:textId="048B07F8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Gabon</w:t>
            </w:r>
          </w:p>
        </w:tc>
        <w:tc>
          <w:tcPr>
            <w:tcW w:w="3969" w:type="dxa"/>
          </w:tcPr>
          <w:p w14:paraId="59C93B2D" w14:textId="4E8A3B6E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1.00</w:t>
            </w:r>
          </w:p>
        </w:tc>
      </w:tr>
      <w:tr w:rsidR="00B82816" w:rsidRPr="005F577E" w14:paraId="53C03F91" w14:textId="77777777" w:rsidTr="00080BD2">
        <w:trPr>
          <w:trHeight w:val="266"/>
        </w:trPr>
        <w:tc>
          <w:tcPr>
            <w:tcW w:w="993" w:type="dxa"/>
          </w:tcPr>
          <w:p w14:paraId="6D453A22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16.</w:t>
            </w:r>
          </w:p>
        </w:tc>
        <w:tc>
          <w:tcPr>
            <w:tcW w:w="4252" w:type="dxa"/>
          </w:tcPr>
          <w:p w14:paraId="13D429BC" w14:textId="0D7D1328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Gambie</w:t>
            </w:r>
          </w:p>
        </w:tc>
        <w:tc>
          <w:tcPr>
            <w:tcW w:w="3969" w:type="dxa"/>
          </w:tcPr>
          <w:p w14:paraId="4D51BCAE" w14:textId="51ACDCD7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78004E69" w14:textId="77777777" w:rsidTr="00080BD2">
        <w:trPr>
          <w:trHeight w:val="268"/>
        </w:trPr>
        <w:tc>
          <w:tcPr>
            <w:tcW w:w="993" w:type="dxa"/>
          </w:tcPr>
          <w:p w14:paraId="11538E25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17.</w:t>
            </w:r>
          </w:p>
        </w:tc>
        <w:tc>
          <w:tcPr>
            <w:tcW w:w="4252" w:type="dxa"/>
          </w:tcPr>
          <w:p w14:paraId="4D80ED91" w14:textId="0D40E9D7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Guinée</w:t>
            </w:r>
          </w:p>
        </w:tc>
        <w:tc>
          <w:tcPr>
            <w:tcW w:w="3969" w:type="dxa"/>
          </w:tcPr>
          <w:p w14:paraId="6626C27E" w14:textId="5240DF8E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686F1FE6" w14:textId="77777777" w:rsidTr="00080BD2">
        <w:trPr>
          <w:trHeight w:val="263"/>
        </w:trPr>
        <w:tc>
          <w:tcPr>
            <w:tcW w:w="993" w:type="dxa"/>
          </w:tcPr>
          <w:p w14:paraId="3ECD0EE7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18.</w:t>
            </w:r>
          </w:p>
        </w:tc>
        <w:tc>
          <w:tcPr>
            <w:tcW w:w="4252" w:type="dxa"/>
          </w:tcPr>
          <w:p w14:paraId="5BC17807" w14:textId="64EC5962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Guinée Bissau</w:t>
            </w:r>
          </w:p>
        </w:tc>
        <w:tc>
          <w:tcPr>
            <w:tcW w:w="3969" w:type="dxa"/>
          </w:tcPr>
          <w:p w14:paraId="282682A8" w14:textId="31952EDB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352FD366" w14:textId="77777777" w:rsidTr="00080BD2">
        <w:trPr>
          <w:trHeight w:val="268"/>
        </w:trPr>
        <w:tc>
          <w:tcPr>
            <w:tcW w:w="993" w:type="dxa"/>
          </w:tcPr>
          <w:p w14:paraId="0A27B597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19.</w:t>
            </w:r>
          </w:p>
        </w:tc>
        <w:tc>
          <w:tcPr>
            <w:tcW w:w="4252" w:type="dxa"/>
          </w:tcPr>
          <w:p w14:paraId="306E1F13" w14:textId="22C53368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Guyane</w:t>
            </w:r>
          </w:p>
        </w:tc>
        <w:tc>
          <w:tcPr>
            <w:tcW w:w="3969" w:type="dxa"/>
          </w:tcPr>
          <w:p w14:paraId="0BAADEBE" w14:textId="178CC734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299AC1A1" w14:textId="77777777" w:rsidTr="00080BD2">
        <w:trPr>
          <w:trHeight w:val="266"/>
        </w:trPr>
        <w:tc>
          <w:tcPr>
            <w:tcW w:w="993" w:type="dxa"/>
          </w:tcPr>
          <w:p w14:paraId="06CDC8A0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20.</w:t>
            </w:r>
          </w:p>
        </w:tc>
        <w:tc>
          <w:tcPr>
            <w:tcW w:w="4252" w:type="dxa"/>
          </w:tcPr>
          <w:p w14:paraId="1F964A10" w14:textId="634C3175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Indonésie</w:t>
            </w:r>
          </w:p>
        </w:tc>
        <w:tc>
          <w:tcPr>
            <w:tcW w:w="3969" w:type="dxa"/>
          </w:tcPr>
          <w:p w14:paraId="63A41A88" w14:textId="408C13AA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3.50</w:t>
            </w:r>
          </w:p>
        </w:tc>
      </w:tr>
      <w:tr w:rsidR="00B82816" w:rsidRPr="005F577E" w14:paraId="0D94EC80" w14:textId="77777777" w:rsidTr="00080BD2">
        <w:trPr>
          <w:trHeight w:val="266"/>
        </w:trPr>
        <w:tc>
          <w:tcPr>
            <w:tcW w:w="993" w:type="dxa"/>
          </w:tcPr>
          <w:p w14:paraId="3102F862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21.</w:t>
            </w:r>
          </w:p>
        </w:tc>
        <w:tc>
          <w:tcPr>
            <w:tcW w:w="4252" w:type="dxa"/>
          </w:tcPr>
          <w:p w14:paraId="59FF9899" w14:textId="6B13ABE5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Iran</w:t>
            </w:r>
          </w:p>
        </w:tc>
        <w:tc>
          <w:tcPr>
            <w:tcW w:w="3969" w:type="dxa"/>
          </w:tcPr>
          <w:p w14:paraId="3D8E0CFC" w14:textId="28EF5EE5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5.50</w:t>
            </w:r>
          </w:p>
        </w:tc>
      </w:tr>
      <w:tr w:rsidR="00B82816" w:rsidRPr="005F577E" w14:paraId="591A0A0E" w14:textId="77777777" w:rsidTr="00080BD2">
        <w:trPr>
          <w:trHeight w:val="266"/>
        </w:trPr>
        <w:tc>
          <w:tcPr>
            <w:tcW w:w="993" w:type="dxa"/>
          </w:tcPr>
          <w:p w14:paraId="2541B2E2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22.</w:t>
            </w:r>
          </w:p>
        </w:tc>
        <w:tc>
          <w:tcPr>
            <w:tcW w:w="4252" w:type="dxa"/>
          </w:tcPr>
          <w:p w14:paraId="64784D69" w14:textId="785703AE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Irak</w:t>
            </w:r>
          </w:p>
        </w:tc>
        <w:tc>
          <w:tcPr>
            <w:tcW w:w="3969" w:type="dxa"/>
          </w:tcPr>
          <w:p w14:paraId="763E8FA8" w14:textId="3BD14B5F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2.00</w:t>
            </w:r>
          </w:p>
        </w:tc>
      </w:tr>
      <w:tr w:rsidR="00B82816" w:rsidRPr="005F577E" w14:paraId="00740EAB" w14:textId="77777777" w:rsidTr="00080BD2">
        <w:trPr>
          <w:trHeight w:val="267"/>
        </w:trPr>
        <w:tc>
          <w:tcPr>
            <w:tcW w:w="993" w:type="dxa"/>
          </w:tcPr>
          <w:p w14:paraId="570095D3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23.</w:t>
            </w:r>
          </w:p>
        </w:tc>
        <w:tc>
          <w:tcPr>
            <w:tcW w:w="4252" w:type="dxa"/>
          </w:tcPr>
          <w:p w14:paraId="4C809838" w14:textId="6B553EF1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Côte d'Ivoire</w:t>
            </w:r>
          </w:p>
        </w:tc>
        <w:tc>
          <w:tcPr>
            <w:tcW w:w="3969" w:type="dxa"/>
          </w:tcPr>
          <w:p w14:paraId="7C5C6AA4" w14:textId="3940001C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1.00</w:t>
            </w:r>
          </w:p>
        </w:tc>
      </w:tr>
      <w:tr w:rsidR="00B82816" w:rsidRPr="005F577E" w14:paraId="1CE84F03" w14:textId="77777777" w:rsidTr="00080BD2">
        <w:trPr>
          <w:trHeight w:val="267"/>
        </w:trPr>
        <w:tc>
          <w:tcPr>
            <w:tcW w:w="993" w:type="dxa"/>
          </w:tcPr>
          <w:p w14:paraId="7F63579C" w14:textId="77777777" w:rsidR="00B82816" w:rsidRPr="005F577E" w:rsidRDefault="00B82816" w:rsidP="00B82816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lastRenderedPageBreak/>
              <w:t>24.</w:t>
            </w:r>
          </w:p>
        </w:tc>
        <w:tc>
          <w:tcPr>
            <w:tcW w:w="4252" w:type="dxa"/>
          </w:tcPr>
          <w:p w14:paraId="2125034C" w14:textId="2B214272" w:rsidR="00B82816" w:rsidRPr="005F577E" w:rsidRDefault="00B82816" w:rsidP="00B82816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Libye </w:t>
            </w:r>
          </w:p>
        </w:tc>
        <w:tc>
          <w:tcPr>
            <w:tcW w:w="3969" w:type="dxa"/>
          </w:tcPr>
          <w:p w14:paraId="23FC30C9" w14:textId="0BBDBD07" w:rsidR="00B82816" w:rsidRPr="005F577E" w:rsidRDefault="00B82816" w:rsidP="00B82816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6.00</w:t>
            </w:r>
          </w:p>
        </w:tc>
      </w:tr>
      <w:tr w:rsidR="00B82816" w:rsidRPr="005F577E" w14:paraId="77003000" w14:textId="77777777" w:rsidTr="00080BD2">
        <w:trPr>
          <w:trHeight w:val="264"/>
        </w:trPr>
        <w:tc>
          <w:tcPr>
            <w:tcW w:w="993" w:type="dxa"/>
          </w:tcPr>
          <w:p w14:paraId="172BDE37" w14:textId="77777777" w:rsidR="00B82816" w:rsidRPr="005F577E" w:rsidRDefault="00B82816" w:rsidP="00B82816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25.</w:t>
            </w:r>
          </w:p>
        </w:tc>
        <w:tc>
          <w:tcPr>
            <w:tcW w:w="4252" w:type="dxa"/>
          </w:tcPr>
          <w:p w14:paraId="08F89955" w14:textId="480EE200" w:rsidR="00B82816" w:rsidRPr="005F577E" w:rsidRDefault="00B82816" w:rsidP="00B82816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Jordan</w:t>
            </w:r>
          </w:p>
        </w:tc>
        <w:tc>
          <w:tcPr>
            <w:tcW w:w="3969" w:type="dxa"/>
          </w:tcPr>
          <w:p w14:paraId="441F11F1" w14:textId="02FF4EA8" w:rsidR="00B82816" w:rsidRPr="005F577E" w:rsidRDefault="00B82816" w:rsidP="00B82816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1.00</w:t>
            </w:r>
          </w:p>
        </w:tc>
      </w:tr>
      <w:tr w:rsidR="00B82816" w:rsidRPr="005F577E" w14:paraId="663F106C" w14:textId="77777777" w:rsidTr="00080BD2">
        <w:trPr>
          <w:trHeight w:val="268"/>
        </w:trPr>
        <w:tc>
          <w:tcPr>
            <w:tcW w:w="993" w:type="dxa"/>
          </w:tcPr>
          <w:p w14:paraId="5D3E6DF4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26.</w:t>
            </w:r>
          </w:p>
        </w:tc>
        <w:tc>
          <w:tcPr>
            <w:tcW w:w="4252" w:type="dxa"/>
          </w:tcPr>
          <w:p w14:paraId="3F0D1084" w14:textId="1F0D77D6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Kazakhstan</w:t>
            </w:r>
          </w:p>
        </w:tc>
        <w:tc>
          <w:tcPr>
            <w:tcW w:w="3969" w:type="dxa"/>
          </w:tcPr>
          <w:p w14:paraId="733F80DA" w14:textId="3CEA0029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1.00</w:t>
            </w:r>
          </w:p>
        </w:tc>
      </w:tr>
      <w:tr w:rsidR="00B82816" w:rsidRPr="005F577E" w14:paraId="653A3A55" w14:textId="77777777" w:rsidTr="00080BD2">
        <w:trPr>
          <w:trHeight w:val="264"/>
        </w:trPr>
        <w:tc>
          <w:tcPr>
            <w:tcW w:w="993" w:type="dxa"/>
          </w:tcPr>
          <w:p w14:paraId="1C65E85C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27.</w:t>
            </w:r>
          </w:p>
        </w:tc>
        <w:tc>
          <w:tcPr>
            <w:tcW w:w="4252" w:type="dxa"/>
          </w:tcPr>
          <w:p w14:paraId="0C8FE532" w14:textId="5788EEF6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Koweit</w:t>
            </w:r>
          </w:p>
        </w:tc>
        <w:tc>
          <w:tcPr>
            <w:tcW w:w="3969" w:type="dxa"/>
          </w:tcPr>
          <w:p w14:paraId="0758657E" w14:textId="423953E8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9.00</w:t>
            </w:r>
          </w:p>
        </w:tc>
      </w:tr>
      <w:tr w:rsidR="00B82816" w:rsidRPr="005F577E" w14:paraId="0145A549" w14:textId="77777777" w:rsidTr="00080BD2">
        <w:trPr>
          <w:trHeight w:val="267"/>
        </w:trPr>
        <w:tc>
          <w:tcPr>
            <w:tcW w:w="993" w:type="dxa"/>
          </w:tcPr>
          <w:p w14:paraId="05DCCB7D" w14:textId="77777777" w:rsidR="00B82816" w:rsidRPr="005F577E" w:rsidRDefault="00B82816" w:rsidP="00B82816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28.</w:t>
            </w:r>
          </w:p>
        </w:tc>
        <w:tc>
          <w:tcPr>
            <w:tcW w:w="4252" w:type="dxa"/>
          </w:tcPr>
          <w:p w14:paraId="02773083" w14:textId="4CFDF235" w:rsidR="00B82816" w:rsidRPr="005F577E" w:rsidRDefault="00B82816" w:rsidP="00B82816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Kirghizistan</w:t>
            </w:r>
          </w:p>
        </w:tc>
        <w:tc>
          <w:tcPr>
            <w:tcW w:w="3969" w:type="dxa"/>
          </w:tcPr>
          <w:p w14:paraId="318CCA9D" w14:textId="0476EF46" w:rsidR="00B82816" w:rsidRPr="005F577E" w:rsidRDefault="00B82816" w:rsidP="00B82816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43C0335B" w14:textId="77777777" w:rsidTr="00080BD2">
        <w:trPr>
          <w:trHeight w:val="266"/>
        </w:trPr>
        <w:tc>
          <w:tcPr>
            <w:tcW w:w="993" w:type="dxa"/>
          </w:tcPr>
          <w:p w14:paraId="67E28722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29.</w:t>
            </w:r>
          </w:p>
        </w:tc>
        <w:tc>
          <w:tcPr>
            <w:tcW w:w="4252" w:type="dxa"/>
          </w:tcPr>
          <w:p w14:paraId="7867043B" w14:textId="05C71EFD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Liban</w:t>
            </w:r>
          </w:p>
        </w:tc>
        <w:tc>
          <w:tcPr>
            <w:tcW w:w="3969" w:type="dxa"/>
          </w:tcPr>
          <w:p w14:paraId="231A51C8" w14:textId="6E826507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1.00</w:t>
            </w:r>
          </w:p>
        </w:tc>
      </w:tr>
      <w:tr w:rsidR="00B82816" w:rsidRPr="005F577E" w14:paraId="2F6BF49B" w14:textId="77777777" w:rsidTr="00080BD2">
        <w:trPr>
          <w:trHeight w:val="266"/>
        </w:trPr>
        <w:tc>
          <w:tcPr>
            <w:tcW w:w="993" w:type="dxa"/>
          </w:tcPr>
          <w:p w14:paraId="3F7F11C2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30.</w:t>
            </w:r>
          </w:p>
        </w:tc>
        <w:tc>
          <w:tcPr>
            <w:tcW w:w="4252" w:type="dxa"/>
          </w:tcPr>
          <w:p w14:paraId="08D9284E" w14:textId="67602CC1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Malaisie</w:t>
            </w:r>
          </w:p>
        </w:tc>
        <w:tc>
          <w:tcPr>
            <w:tcW w:w="3969" w:type="dxa"/>
          </w:tcPr>
          <w:p w14:paraId="0DEBF03C" w14:textId="2F467506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5.00</w:t>
            </w:r>
          </w:p>
        </w:tc>
      </w:tr>
      <w:tr w:rsidR="00B82816" w:rsidRPr="005F577E" w14:paraId="48E3700C" w14:textId="77777777" w:rsidTr="00080BD2">
        <w:trPr>
          <w:trHeight w:val="266"/>
        </w:trPr>
        <w:tc>
          <w:tcPr>
            <w:tcW w:w="993" w:type="dxa"/>
          </w:tcPr>
          <w:p w14:paraId="5B93AABC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31.</w:t>
            </w:r>
          </w:p>
        </w:tc>
        <w:tc>
          <w:tcPr>
            <w:tcW w:w="4252" w:type="dxa"/>
          </w:tcPr>
          <w:p w14:paraId="4B09D2A0" w14:textId="6675F78A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Maldives</w:t>
            </w:r>
          </w:p>
        </w:tc>
        <w:tc>
          <w:tcPr>
            <w:tcW w:w="3969" w:type="dxa"/>
          </w:tcPr>
          <w:p w14:paraId="52E22648" w14:textId="464F7A81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1FEC194A" w14:textId="77777777" w:rsidTr="00080BD2">
        <w:trPr>
          <w:trHeight w:val="268"/>
        </w:trPr>
        <w:tc>
          <w:tcPr>
            <w:tcW w:w="993" w:type="dxa"/>
          </w:tcPr>
          <w:p w14:paraId="584E58AB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32.</w:t>
            </w:r>
          </w:p>
        </w:tc>
        <w:tc>
          <w:tcPr>
            <w:tcW w:w="4252" w:type="dxa"/>
          </w:tcPr>
          <w:p w14:paraId="50AC8FEE" w14:textId="247B872F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Mali</w:t>
            </w:r>
          </w:p>
        </w:tc>
        <w:tc>
          <w:tcPr>
            <w:tcW w:w="3969" w:type="dxa"/>
          </w:tcPr>
          <w:p w14:paraId="071A8850" w14:textId="7490C532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367C470E" w14:textId="77777777" w:rsidTr="00080BD2">
        <w:trPr>
          <w:trHeight w:val="263"/>
        </w:trPr>
        <w:tc>
          <w:tcPr>
            <w:tcW w:w="993" w:type="dxa"/>
          </w:tcPr>
          <w:p w14:paraId="3F92F683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33.</w:t>
            </w:r>
          </w:p>
        </w:tc>
        <w:tc>
          <w:tcPr>
            <w:tcW w:w="4252" w:type="dxa"/>
          </w:tcPr>
          <w:p w14:paraId="0407D623" w14:textId="5DAA22E9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Mauritanie</w:t>
            </w:r>
          </w:p>
        </w:tc>
        <w:tc>
          <w:tcPr>
            <w:tcW w:w="3969" w:type="dxa"/>
          </w:tcPr>
          <w:p w14:paraId="3BAEA853" w14:textId="1B08D5A1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67D59D31" w14:textId="77777777" w:rsidTr="00080BD2">
        <w:trPr>
          <w:trHeight w:val="268"/>
        </w:trPr>
        <w:tc>
          <w:tcPr>
            <w:tcW w:w="993" w:type="dxa"/>
          </w:tcPr>
          <w:p w14:paraId="58BEA1D3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34.</w:t>
            </w:r>
          </w:p>
        </w:tc>
        <w:tc>
          <w:tcPr>
            <w:tcW w:w="4252" w:type="dxa"/>
          </w:tcPr>
          <w:p w14:paraId="24530F45" w14:textId="1A622A67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Maroc</w:t>
            </w:r>
          </w:p>
        </w:tc>
        <w:tc>
          <w:tcPr>
            <w:tcW w:w="3969" w:type="dxa"/>
          </w:tcPr>
          <w:p w14:paraId="217D87F6" w14:textId="2A9093F2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2.00</w:t>
            </w:r>
          </w:p>
        </w:tc>
      </w:tr>
      <w:tr w:rsidR="00B82816" w:rsidRPr="005F577E" w14:paraId="75BB96AE" w14:textId="77777777" w:rsidTr="00080BD2">
        <w:trPr>
          <w:trHeight w:val="264"/>
        </w:trPr>
        <w:tc>
          <w:tcPr>
            <w:tcW w:w="993" w:type="dxa"/>
          </w:tcPr>
          <w:p w14:paraId="08FC3CD1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35.</w:t>
            </w:r>
          </w:p>
        </w:tc>
        <w:tc>
          <w:tcPr>
            <w:tcW w:w="4252" w:type="dxa"/>
          </w:tcPr>
          <w:p w14:paraId="4FB5D380" w14:textId="1B42B2D3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Mozambique</w:t>
            </w:r>
          </w:p>
        </w:tc>
        <w:tc>
          <w:tcPr>
            <w:tcW w:w="3969" w:type="dxa"/>
          </w:tcPr>
          <w:p w14:paraId="0D7FAA79" w14:textId="003F19C0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03802FA2" w14:textId="77777777" w:rsidTr="00080BD2">
        <w:trPr>
          <w:trHeight w:val="267"/>
        </w:trPr>
        <w:tc>
          <w:tcPr>
            <w:tcW w:w="993" w:type="dxa"/>
          </w:tcPr>
          <w:p w14:paraId="3890904A" w14:textId="77777777" w:rsidR="00B82816" w:rsidRPr="005F577E" w:rsidRDefault="00B82816" w:rsidP="00B82816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36.</w:t>
            </w:r>
          </w:p>
        </w:tc>
        <w:tc>
          <w:tcPr>
            <w:tcW w:w="4252" w:type="dxa"/>
          </w:tcPr>
          <w:p w14:paraId="1CFC431F" w14:textId="1138806F" w:rsidR="00B82816" w:rsidRPr="005F577E" w:rsidRDefault="00B82816" w:rsidP="00B82816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Niger</w:t>
            </w:r>
          </w:p>
        </w:tc>
        <w:tc>
          <w:tcPr>
            <w:tcW w:w="3969" w:type="dxa"/>
          </w:tcPr>
          <w:p w14:paraId="14A7C6BE" w14:textId="0C44680F" w:rsidR="00B82816" w:rsidRPr="005F577E" w:rsidRDefault="00B82816" w:rsidP="00B82816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63C0AF41" w14:textId="77777777" w:rsidTr="00080BD2">
        <w:trPr>
          <w:trHeight w:val="266"/>
        </w:trPr>
        <w:tc>
          <w:tcPr>
            <w:tcW w:w="993" w:type="dxa"/>
          </w:tcPr>
          <w:p w14:paraId="67B00DB3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37.</w:t>
            </w:r>
          </w:p>
        </w:tc>
        <w:tc>
          <w:tcPr>
            <w:tcW w:w="4252" w:type="dxa"/>
          </w:tcPr>
          <w:p w14:paraId="680A808A" w14:textId="623025F5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Nigeria</w:t>
            </w:r>
          </w:p>
        </w:tc>
        <w:tc>
          <w:tcPr>
            <w:tcW w:w="3969" w:type="dxa"/>
          </w:tcPr>
          <w:p w14:paraId="75F21947" w14:textId="18756D12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1.50</w:t>
            </w:r>
          </w:p>
        </w:tc>
      </w:tr>
      <w:tr w:rsidR="00B82816" w:rsidRPr="005F577E" w14:paraId="4818E231" w14:textId="77777777" w:rsidTr="00080BD2">
        <w:trPr>
          <w:trHeight w:val="267"/>
        </w:trPr>
        <w:tc>
          <w:tcPr>
            <w:tcW w:w="993" w:type="dxa"/>
          </w:tcPr>
          <w:p w14:paraId="72103131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38.</w:t>
            </w:r>
          </w:p>
        </w:tc>
        <w:tc>
          <w:tcPr>
            <w:tcW w:w="4252" w:type="dxa"/>
          </w:tcPr>
          <w:p w14:paraId="723C2A2C" w14:textId="737A76D8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Oman</w:t>
            </w:r>
          </w:p>
        </w:tc>
        <w:tc>
          <w:tcPr>
            <w:tcW w:w="3969" w:type="dxa"/>
          </w:tcPr>
          <w:p w14:paraId="092AC01E" w14:textId="52E07AFE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2.00</w:t>
            </w:r>
          </w:p>
        </w:tc>
      </w:tr>
      <w:tr w:rsidR="00B82816" w:rsidRPr="005F577E" w14:paraId="6A83F73D" w14:textId="77777777" w:rsidTr="00080BD2">
        <w:trPr>
          <w:trHeight w:val="264"/>
        </w:trPr>
        <w:tc>
          <w:tcPr>
            <w:tcW w:w="993" w:type="dxa"/>
          </w:tcPr>
          <w:p w14:paraId="7DAA3A7A" w14:textId="77777777" w:rsidR="00B82816" w:rsidRPr="005F577E" w:rsidRDefault="00B82816" w:rsidP="00B82816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39.</w:t>
            </w:r>
          </w:p>
        </w:tc>
        <w:tc>
          <w:tcPr>
            <w:tcW w:w="4252" w:type="dxa"/>
          </w:tcPr>
          <w:p w14:paraId="069261DF" w14:textId="5E0E1129" w:rsidR="00B82816" w:rsidRPr="005F577E" w:rsidRDefault="00B82816" w:rsidP="00B82816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Pakistan</w:t>
            </w:r>
          </w:p>
        </w:tc>
        <w:tc>
          <w:tcPr>
            <w:tcW w:w="3969" w:type="dxa"/>
          </w:tcPr>
          <w:p w14:paraId="38C14BC1" w14:textId="31F34813" w:rsidR="00B82816" w:rsidRPr="005F577E" w:rsidRDefault="00B82816" w:rsidP="00B82816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2.00</w:t>
            </w:r>
          </w:p>
        </w:tc>
      </w:tr>
      <w:tr w:rsidR="00B82816" w:rsidRPr="005F577E" w14:paraId="6FA0915F" w14:textId="77777777" w:rsidTr="00080BD2">
        <w:trPr>
          <w:trHeight w:val="268"/>
        </w:trPr>
        <w:tc>
          <w:tcPr>
            <w:tcW w:w="993" w:type="dxa"/>
          </w:tcPr>
          <w:p w14:paraId="63B0CDFA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40.</w:t>
            </w:r>
          </w:p>
        </w:tc>
        <w:tc>
          <w:tcPr>
            <w:tcW w:w="4252" w:type="dxa"/>
          </w:tcPr>
          <w:p w14:paraId="10DAE277" w14:textId="50C21934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Palestine (exempté)</w:t>
            </w:r>
          </w:p>
        </w:tc>
        <w:tc>
          <w:tcPr>
            <w:tcW w:w="3969" w:type="dxa"/>
          </w:tcPr>
          <w:p w14:paraId="382E9F43" w14:textId="77777777" w:rsidR="00B82816" w:rsidRPr="005F577E" w:rsidRDefault="00B82816" w:rsidP="00B82816">
            <w:pPr>
              <w:pStyle w:val="TableParagraph"/>
              <w:spacing w:before="0"/>
              <w:ind w:left="0"/>
              <w:rPr>
                <w:rFonts w:asciiTheme="majorBidi" w:hAnsiTheme="majorBidi" w:cstheme="majorBidi"/>
                <w:sz w:val="18"/>
              </w:rPr>
            </w:pPr>
          </w:p>
        </w:tc>
      </w:tr>
      <w:tr w:rsidR="00B82816" w:rsidRPr="005F577E" w14:paraId="17F4C6A4" w14:textId="77777777" w:rsidTr="00080BD2">
        <w:trPr>
          <w:trHeight w:val="264"/>
        </w:trPr>
        <w:tc>
          <w:tcPr>
            <w:tcW w:w="993" w:type="dxa"/>
          </w:tcPr>
          <w:p w14:paraId="7DF5E703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41.</w:t>
            </w:r>
          </w:p>
        </w:tc>
        <w:tc>
          <w:tcPr>
            <w:tcW w:w="4252" w:type="dxa"/>
          </w:tcPr>
          <w:p w14:paraId="5DAC67E2" w14:textId="5E5C66C9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Qatar</w:t>
            </w:r>
          </w:p>
        </w:tc>
        <w:tc>
          <w:tcPr>
            <w:tcW w:w="3969" w:type="dxa"/>
          </w:tcPr>
          <w:p w14:paraId="3A1A2471" w14:textId="43570D61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3.50</w:t>
            </w:r>
          </w:p>
        </w:tc>
      </w:tr>
      <w:tr w:rsidR="00B82816" w:rsidRPr="005F577E" w14:paraId="7202843E" w14:textId="77777777" w:rsidTr="00080BD2">
        <w:trPr>
          <w:trHeight w:val="267"/>
        </w:trPr>
        <w:tc>
          <w:tcPr>
            <w:tcW w:w="993" w:type="dxa"/>
          </w:tcPr>
          <w:p w14:paraId="24752EE9" w14:textId="77777777" w:rsidR="00B82816" w:rsidRPr="005F577E" w:rsidRDefault="00B82816" w:rsidP="00B82816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42.</w:t>
            </w:r>
          </w:p>
        </w:tc>
        <w:tc>
          <w:tcPr>
            <w:tcW w:w="4252" w:type="dxa"/>
          </w:tcPr>
          <w:p w14:paraId="3E95765D" w14:textId="58C9FDEA" w:rsidR="00B82816" w:rsidRPr="005F577E" w:rsidRDefault="00B82816" w:rsidP="00B82816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 xml:space="preserve">Arabie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aoudite</w:t>
            </w:r>
          </w:p>
        </w:tc>
        <w:tc>
          <w:tcPr>
            <w:tcW w:w="3969" w:type="dxa"/>
          </w:tcPr>
          <w:p w14:paraId="06EA9FD6" w14:textId="33E56428" w:rsidR="00B82816" w:rsidRPr="005F577E" w:rsidRDefault="00B82816" w:rsidP="00B82816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10.00</w:t>
            </w:r>
          </w:p>
        </w:tc>
      </w:tr>
      <w:tr w:rsidR="00B82816" w:rsidRPr="005F577E" w14:paraId="2B2DDFC1" w14:textId="77777777" w:rsidTr="00080BD2">
        <w:trPr>
          <w:trHeight w:val="266"/>
        </w:trPr>
        <w:tc>
          <w:tcPr>
            <w:tcW w:w="993" w:type="dxa"/>
          </w:tcPr>
          <w:p w14:paraId="659844DE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43.</w:t>
            </w:r>
          </w:p>
        </w:tc>
        <w:tc>
          <w:tcPr>
            <w:tcW w:w="4252" w:type="dxa"/>
          </w:tcPr>
          <w:p w14:paraId="1D96ECB7" w14:textId="72914E94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Sénégal</w:t>
            </w:r>
          </w:p>
        </w:tc>
        <w:tc>
          <w:tcPr>
            <w:tcW w:w="3969" w:type="dxa"/>
          </w:tcPr>
          <w:p w14:paraId="4203E9D1" w14:textId="1A42C191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1.00</w:t>
            </w:r>
          </w:p>
        </w:tc>
      </w:tr>
      <w:tr w:rsidR="00B82816" w:rsidRPr="005F577E" w14:paraId="57E2DC83" w14:textId="77777777" w:rsidTr="00080BD2">
        <w:trPr>
          <w:trHeight w:val="267"/>
        </w:trPr>
        <w:tc>
          <w:tcPr>
            <w:tcW w:w="993" w:type="dxa"/>
          </w:tcPr>
          <w:p w14:paraId="19EDA703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44.</w:t>
            </w:r>
          </w:p>
        </w:tc>
        <w:tc>
          <w:tcPr>
            <w:tcW w:w="4252" w:type="dxa"/>
          </w:tcPr>
          <w:p w14:paraId="4D2CE4E6" w14:textId="7BC8E691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Sierra Leone</w:t>
            </w:r>
          </w:p>
        </w:tc>
        <w:tc>
          <w:tcPr>
            <w:tcW w:w="3969" w:type="dxa"/>
          </w:tcPr>
          <w:p w14:paraId="4E5617FB" w14:textId="3832713F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16B7F742" w14:textId="77777777" w:rsidTr="00080BD2">
        <w:trPr>
          <w:trHeight w:val="264"/>
        </w:trPr>
        <w:tc>
          <w:tcPr>
            <w:tcW w:w="993" w:type="dxa"/>
          </w:tcPr>
          <w:p w14:paraId="35326FBF" w14:textId="77777777" w:rsidR="00B82816" w:rsidRPr="005F577E" w:rsidRDefault="00B82816" w:rsidP="00B82816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45.</w:t>
            </w:r>
          </w:p>
        </w:tc>
        <w:tc>
          <w:tcPr>
            <w:tcW w:w="4252" w:type="dxa"/>
          </w:tcPr>
          <w:p w14:paraId="6AF5CA46" w14:textId="6B5F8219" w:rsidR="00B82816" w:rsidRPr="005F577E" w:rsidRDefault="00B82816" w:rsidP="00B82816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Somalie</w:t>
            </w:r>
          </w:p>
        </w:tc>
        <w:tc>
          <w:tcPr>
            <w:tcW w:w="3969" w:type="dxa"/>
          </w:tcPr>
          <w:p w14:paraId="725DE21A" w14:textId="3690670B" w:rsidR="00B82816" w:rsidRPr="005F577E" w:rsidRDefault="00B82816" w:rsidP="00B82816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2915E619" w14:textId="77777777" w:rsidTr="00080BD2">
        <w:trPr>
          <w:trHeight w:val="268"/>
        </w:trPr>
        <w:tc>
          <w:tcPr>
            <w:tcW w:w="993" w:type="dxa"/>
          </w:tcPr>
          <w:p w14:paraId="2A95638A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46.</w:t>
            </w:r>
          </w:p>
        </w:tc>
        <w:tc>
          <w:tcPr>
            <w:tcW w:w="4252" w:type="dxa"/>
          </w:tcPr>
          <w:p w14:paraId="40186054" w14:textId="633DFF55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Soudan</w:t>
            </w:r>
          </w:p>
        </w:tc>
        <w:tc>
          <w:tcPr>
            <w:tcW w:w="3969" w:type="dxa"/>
          </w:tcPr>
          <w:p w14:paraId="02343D07" w14:textId="370EBB50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1.00</w:t>
            </w:r>
          </w:p>
        </w:tc>
      </w:tr>
      <w:tr w:rsidR="00B82816" w:rsidRPr="005F577E" w14:paraId="5308BBD2" w14:textId="77777777" w:rsidTr="00080BD2">
        <w:trPr>
          <w:trHeight w:val="264"/>
        </w:trPr>
        <w:tc>
          <w:tcPr>
            <w:tcW w:w="993" w:type="dxa"/>
          </w:tcPr>
          <w:p w14:paraId="48291B89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47.</w:t>
            </w:r>
          </w:p>
        </w:tc>
        <w:tc>
          <w:tcPr>
            <w:tcW w:w="4252" w:type="dxa"/>
          </w:tcPr>
          <w:p w14:paraId="6C122810" w14:textId="3EADCDBA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Suriname</w:t>
            </w:r>
          </w:p>
        </w:tc>
        <w:tc>
          <w:tcPr>
            <w:tcW w:w="3969" w:type="dxa"/>
          </w:tcPr>
          <w:p w14:paraId="0F97F117" w14:textId="7B2D3A58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42E6F5DF" w14:textId="77777777" w:rsidTr="00080BD2">
        <w:trPr>
          <w:trHeight w:val="267"/>
        </w:trPr>
        <w:tc>
          <w:tcPr>
            <w:tcW w:w="993" w:type="dxa"/>
          </w:tcPr>
          <w:p w14:paraId="111A5789" w14:textId="77777777" w:rsidR="00B82816" w:rsidRPr="005F577E" w:rsidRDefault="00B82816" w:rsidP="00B82816">
            <w:pPr>
              <w:pStyle w:val="TableParagraph"/>
              <w:spacing w:before="5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48.</w:t>
            </w:r>
          </w:p>
        </w:tc>
        <w:tc>
          <w:tcPr>
            <w:tcW w:w="4252" w:type="dxa"/>
          </w:tcPr>
          <w:p w14:paraId="3A9CD9FE" w14:textId="352599AA" w:rsidR="00B82816" w:rsidRPr="005F577E" w:rsidRDefault="00B82816" w:rsidP="00B82816">
            <w:pPr>
              <w:pStyle w:val="TableParagraph"/>
              <w:spacing w:before="5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Syrie</w:t>
            </w:r>
          </w:p>
        </w:tc>
        <w:tc>
          <w:tcPr>
            <w:tcW w:w="3969" w:type="dxa"/>
          </w:tcPr>
          <w:p w14:paraId="2E63BA18" w14:textId="4904C7F9" w:rsidR="00B82816" w:rsidRPr="005F577E" w:rsidRDefault="00B82816" w:rsidP="00B82816">
            <w:pPr>
              <w:pStyle w:val="TableParagraph"/>
              <w:spacing w:before="5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1.50</w:t>
            </w:r>
          </w:p>
        </w:tc>
      </w:tr>
      <w:tr w:rsidR="00B82816" w:rsidRPr="005F577E" w14:paraId="5FFFAC1E" w14:textId="77777777" w:rsidTr="00080BD2">
        <w:trPr>
          <w:trHeight w:val="266"/>
        </w:trPr>
        <w:tc>
          <w:tcPr>
            <w:tcW w:w="993" w:type="dxa"/>
          </w:tcPr>
          <w:p w14:paraId="31734CF8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49.</w:t>
            </w:r>
          </w:p>
        </w:tc>
        <w:tc>
          <w:tcPr>
            <w:tcW w:w="4252" w:type="dxa"/>
          </w:tcPr>
          <w:p w14:paraId="2F5CA195" w14:textId="442FEB29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Tadjikistan</w:t>
            </w:r>
          </w:p>
        </w:tc>
        <w:tc>
          <w:tcPr>
            <w:tcW w:w="3969" w:type="dxa"/>
          </w:tcPr>
          <w:p w14:paraId="0FAFA2A7" w14:textId="0071D787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2CC739EE" w14:textId="77777777" w:rsidTr="00080BD2">
        <w:trPr>
          <w:trHeight w:val="266"/>
        </w:trPr>
        <w:tc>
          <w:tcPr>
            <w:tcW w:w="993" w:type="dxa"/>
          </w:tcPr>
          <w:p w14:paraId="6E7AF7BA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50.</w:t>
            </w:r>
          </w:p>
        </w:tc>
        <w:tc>
          <w:tcPr>
            <w:tcW w:w="4252" w:type="dxa"/>
          </w:tcPr>
          <w:p w14:paraId="7E7E8BEF" w14:textId="260C9610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Togo</w:t>
            </w:r>
          </w:p>
        </w:tc>
        <w:tc>
          <w:tcPr>
            <w:tcW w:w="3969" w:type="dxa"/>
          </w:tcPr>
          <w:p w14:paraId="57CB4948" w14:textId="449A3495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31CC6139" w14:textId="77777777" w:rsidTr="00080BD2">
        <w:trPr>
          <w:trHeight w:val="266"/>
        </w:trPr>
        <w:tc>
          <w:tcPr>
            <w:tcW w:w="993" w:type="dxa"/>
          </w:tcPr>
          <w:p w14:paraId="72063314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51.</w:t>
            </w:r>
          </w:p>
        </w:tc>
        <w:tc>
          <w:tcPr>
            <w:tcW w:w="4252" w:type="dxa"/>
          </w:tcPr>
          <w:p w14:paraId="72E27B60" w14:textId="2FBC98AD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Tunisie</w:t>
            </w:r>
          </w:p>
        </w:tc>
        <w:tc>
          <w:tcPr>
            <w:tcW w:w="3969" w:type="dxa"/>
          </w:tcPr>
          <w:p w14:paraId="75A40E7A" w14:textId="5457AC60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1.50</w:t>
            </w:r>
          </w:p>
        </w:tc>
      </w:tr>
      <w:tr w:rsidR="00B82816" w:rsidRPr="005F577E" w14:paraId="17DFFDA9" w14:textId="77777777" w:rsidTr="00080BD2">
        <w:trPr>
          <w:trHeight w:val="268"/>
        </w:trPr>
        <w:tc>
          <w:tcPr>
            <w:tcW w:w="993" w:type="dxa"/>
          </w:tcPr>
          <w:p w14:paraId="08BA87C6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52.</w:t>
            </w:r>
          </w:p>
        </w:tc>
        <w:tc>
          <w:tcPr>
            <w:tcW w:w="4252" w:type="dxa"/>
          </w:tcPr>
          <w:p w14:paraId="76F77604" w14:textId="44BEA20D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Turquie</w:t>
            </w:r>
          </w:p>
        </w:tc>
        <w:tc>
          <w:tcPr>
            <w:tcW w:w="3969" w:type="dxa"/>
          </w:tcPr>
          <w:p w14:paraId="0E777569" w14:textId="3653FC85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5.00</w:t>
            </w:r>
          </w:p>
        </w:tc>
      </w:tr>
      <w:tr w:rsidR="00B82816" w:rsidRPr="005F577E" w14:paraId="04AA1BDE" w14:textId="77777777" w:rsidTr="00080BD2">
        <w:trPr>
          <w:trHeight w:val="263"/>
        </w:trPr>
        <w:tc>
          <w:tcPr>
            <w:tcW w:w="993" w:type="dxa"/>
          </w:tcPr>
          <w:p w14:paraId="0712FEEF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53.</w:t>
            </w:r>
          </w:p>
        </w:tc>
        <w:tc>
          <w:tcPr>
            <w:tcW w:w="4252" w:type="dxa"/>
          </w:tcPr>
          <w:p w14:paraId="7ECAD5B0" w14:textId="011B4F09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Turkménistan</w:t>
            </w:r>
          </w:p>
        </w:tc>
        <w:tc>
          <w:tcPr>
            <w:tcW w:w="3969" w:type="dxa"/>
          </w:tcPr>
          <w:p w14:paraId="4674A9FD" w14:textId="7C09A87D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1.00</w:t>
            </w:r>
          </w:p>
        </w:tc>
      </w:tr>
      <w:tr w:rsidR="00B82816" w:rsidRPr="005F577E" w14:paraId="69941FFA" w14:textId="77777777" w:rsidTr="00080BD2">
        <w:trPr>
          <w:trHeight w:val="268"/>
        </w:trPr>
        <w:tc>
          <w:tcPr>
            <w:tcW w:w="993" w:type="dxa"/>
          </w:tcPr>
          <w:p w14:paraId="0CFBB5AB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54.</w:t>
            </w:r>
          </w:p>
        </w:tc>
        <w:tc>
          <w:tcPr>
            <w:tcW w:w="4252" w:type="dxa"/>
          </w:tcPr>
          <w:p w14:paraId="2F75266E" w14:textId="0989EE8F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Ouganda</w:t>
            </w:r>
          </w:p>
        </w:tc>
        <w:tc>
          <w:tcPr>
            <w:tcW w:w="3969" w:type="dxa"/>
          </w:tcPr>
          <w:p w14:paraId="3C50247A" w14:textId="6AF52792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643F428B" w14:textId="77777777" w:rsidTr="00B82816">
        <w:trPr>
          <w:trHeight w:val="299"/>
        </w:trPr>
        <w:tc>
          <w:tcPr>
            <w:tcW w:w="993" w:type="dxa"/>
          </w:tcPr>
          <w:p w14:paraId="729BBAD8" w14:textId="77777777" w:rsidR="00B82816" w:rsidRPr="005F577E" w:rsidRDefault="00B82816" w:rsidP="00B82816">
            <w:pPr>
              <w:pStyle w:val="TableParagraph"/>
              <w:spacing w:before="21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55.</w:t>
            </w:r>
          </w:p>
        </w:tc>
        <w:tc>
          <w:tcPr>
            <w:tcW w:w="4252" w:type="dxa"/>
            <w:vAlign w:val="bottom"/>
          </w:tcPr>
          <w:p w14:paraId="6FF09674" w14:textId="31F0806B" w:rsidR="00B82816" w:rsidRPr="005F577E" w:rsidRDefault="00B82816" w:rsidP="00B82816">
            <w:pPr>
              <w:pStyle w:val="TableParagraph"/>
              <w:spacing w:before="0" w:line="145" w:lineRule="exact"/>
              <w:ind w:left="100"/>
              <w:rPr>
                <w:rFonts w:asciiTheme="majorBidi" w:hAnsiTheme="majorBidi" w:cstheme="majorBidi"/>
                <w:sz w:val="18"/>
              </w:rPr>
            </w:pPr>
            <w:r w:rsidRPr="006D78D2">
              <w:rPr>
                <w:rFonts w:ascii="Times New Roman" w:hAnsi="Times New Roman" w:cs="Times New Roman"/>
                <w:sz w:val="18"/>
                <w:szCs w:val="18"/>
              </w:rPr>
              <w:t>Emirats Arabes Unis</w:t>
            </w:r>
          </w:p>
        </w:tc>
        <w:tc>
          <w:tcPr>
            <w:tcW w:w="3969" w:type="dxa"/>
            <w:vAlign w:val="bottom"/>
          </w:tcPr>
          <w:p w14:paraId="7BC8DFD1" w14:textId="7F0E79BF" w:rsidR="00B82816" w:rsidRPr="005F577E" w:rsidRDefault="00B82816" w:rsidP="00B82816">
            <w:pPr>
              <w:pStyle w:val="TableParagraph"/>
              <w:spacing w:before="21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7.00</w:t>
            </w:r>
          </w:p>
        </w:tc>
      </w:tr>
      <w:tr w:rsidR="00B82816" w:rsidRPr="005F577E" w14:paraId="5764C254" w14:textId="77777777" w:rsidTr="00080BD2">
        <w:trPr>
          <w:trHeight w:val="266"/>
        </w:trPr>
        <w:tc>
          <w:tcPr>
            <w:tcW w:w="993" w:type="dxa"/>
          </w:tcPr>
          <w:p w14:paraId="69E8C4CE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56.</w:t>
            </w:r>
          </w:p>
        </w:tc>
        <w:tc>
          <w:tcPr>
            <w:tcW w:w="4252" w:type="dxa"/>
          </w:tcPr>
          <w:p w14:paraId="21D30BC6" w14:textId="609C6A72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sz w:val="18"/>
                <w:szCs w:val="18"/>
              </w:rPr>
              <w:t>Ouzbekistan</w:t>
            </w:r>
          </w:p>
        </w:tc>
        <w:tc>
          <w:tcPr>
            <w:tcW w:w="3969" w:type="dxa"/>
          </w:tcPr>
          <w:p w14:paraId="387764DA" w14:textId="51EBF780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1.00</w:t>
            </w:r>
          </w:p>
        </w:tc>
      </w:tr>
      <w:tr w:rsidR="00B82816" w:rsidRPr="005F577E" w14:paraId="323D3551" w14:textId="77777777" w:rsidTr="00080BD2">
        <w:trPr>
          <w:trHeight w:val="266"/>
        </w:trPr>
        <w:tc>
          <w:tcPr>
            <w:tcW w:w="993" w:type="dxa"/>
          </w:tcPr>
          <w:p w14:paraId="4F800720" w14:textId="77777777" w:rsidR="00B82816" w:rsidRPr="005F577E" w:rsidRDefault="00B82816" w:rsidP="00B82816">
            <w:pPr>
              <w:pStyle w:val="TableParagraph"/>
              <w:ind w:left="414"/>
              <w:rPr>
                <w:rFonts w:asciiTheme="majorBidi" w:hAnsiTheme="majorBidi" w:cstheme="majorBidi"/>
                <w:sz w:val="18"/>
              </w:rPr>
            </w:pPr>
            <w:r w:rsidRPr="005F577E">
              <w:rPr>
                <w:rFonts w:asciiTheme="majorBidi" w:hAnsiTheme="majorBidi" w:cstheme="majorBidi"/>
                <w:w w:val="105"/>
                <w:sz w:val="18"/>
              </w:rPr>
              <w:t>57.</w:t>
            </w:r>
          </w:p>
        </w:tc>
        <w:tc>
          <w:tcPr>
            <w:tcW w:w="4252" w:type="dxa"/>
          </w:tcPr>
          <w:p w14:paraId="7D9E4511" w14:textId="07A3B13F" w:rsidR="00B82816" w:rsidRPr="005F577E" w:rsidRDefault="00B82816" w:rsidP="00B82816">
            <w:pPr>
              <w:pStyle w:val="TableParagraph"/>
              <w:ind w:left="100"/>
              <w:rPr>
                <w:rFonts w:asciiTheme="majorBidi" w:hAnsiTheme="majorBidi" w:cstheme="majorBidi"/>
                <w:sz w:val="18"/>
              </w:rPr>
            </w:pPr>
            <w:r w:rsidRPr="006D78D2">
              <w:rPr>
                <w:rFonts w:ascii="Times New Roman" w:hAnsi="Times New Roman" w:cs="Times New Roman"/>
                <w:sz w:val="18"/>
                <w:szCs w:val="18"/>
              </w:rPr>
              <w:t>République du Yémen</w:t>
            </w:r>
          </w:p>
        </w:tc>
        <w:tc>
          <w:tcPr>
            <w:tcW w:w="3969" w:type="dxa"/>
          </w:tcPr>
          <w:p w14:paraId="3BCC9357" w14:textId="246E85EC" w:rsidR="00B82816" w:rsidRPr="005F577E" w:rsidRDefault="00B82816" w:rsidP="00B82816">
            <w:pPr>
              <w:pStyle w:val="TableParagraph"/>
              <w:ind w:right="746"/>
              <w:jc w:val="center"/>
              <w:rPr>
                <w:rFonts w:asciiTheme="majorBidi" w:hAnsiTheme="majorBidi" w:cstheme="majorBidi"/>
                <w:sz w:val="18"/>
              </w:rPr>
            </w:pPr>
            <w:r w:rsidRPr="00423EA5">
              <w:rPr>
                <w:rFonts w:ascii="Times New Roman" w:hAnsi="Times New Roman" w:cs="Times New Roman"/>
                <w:w w:val="105"/>
                <w:sz w:val="18"/>
                <w:szCs w:val="18"/>
              </w:rPr>
              <w:t>0.50</w:t>
            </w:r>
          </w:p>
        </w:tc>
      </w:tr>
      <w:tr w:rsidR="00B82816" w:rsidRPr="005F577E" w14:paraId="37679595" w14:textId="77777777" w:rsidTr="00080BD2">
        <w:trPr>
          <w:trHeight w:val="268"/>
        </w:trPr>
        <w:tc>
          <w:tcPr>
            <w:tcW w:w="993" w:type="dxa"/>
          </w:tcPr>
          <w:p w14:paraId="71332D8E" w14:textId="77777777" w:rsidR="00B82816" w:rsidRPr="005F577E" w:rsidRDefault="00B82816" w:rsidP="00B82816">
            <w:pPr>
              <w:pStyle w:val="TableParagraph"/>
              <w:spacing w:before="0"/>
              <w:ind w:left="0"/>
              <w:rPr>
                <w:rFonts w:asciiTheme="majorBidi" w:hAnsiTheme="majorBidi" w:cstheme="majorBidi"/>
                <w:sz w:val="18"/>
              </w:rPr>
            </w:pPr>
          </w:p>
        </w:tc>
        <w:tc>
          <w:tcPr>
            <w:tcW w:w="4252" w:type="dxa"/>
          </w:tcPr>
          <w:p w14:paraId="53678537" w14:textId="1132C7CD" w:rsidR="00B82816" w:rsidRPr="005F577E" w:rsidRDefault="00B82816" w:rsidP="00B82816">
            <w:pPr>
              <w:pStyle w:val="TableParagraph"/>
              <w:spacing w:before="27"/>
              <w:ind w:left="546"/>
              <w:rPr>
                <w:rFonts w:asciiTheme="majorBidi" w:hAnsiTheme="majorBidi" w:cstheme="majorBidi"/>
                <w:b/>
                <w:sz w:val="18"/>
              </w:rPr>
            </w:pPr>
            <w:r w:rsidRPr="00423EA5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T O T A L:</w:t>
            </w:r>
          </w:p>
        </w:tc>
        <w:tc>
          <w:tcPr>
            <w:tcW w:w="3969" w:type="dxa"/>
          </w:tcPr>
          <w:p w14:paraId="456E66B9" w14:textId="65EF73ED" w:rsidR="00B82816" w:rsidRPr="005F577E" w:rsidRDefault="00B82816" w:rsidP="00B82816">
            <w:pPr>
              <w:pStyle w:val="TableParagraph"/>
              <w:spacing w:before="27"/>
              <w:ind w:right="748"/>
              <w:jc w:val="center"/>
              <w:rPr>
                <w:rFonts w:asciiTheme="majorBidi" w:hAnsiTheme="majorBidi" w:cstheme="majorBidi"/>
                <w:b/>
                <w:sz w:val="18"/>
              </w:rPr>
            </w:pPr>
            <w:r w:rsidRPr="00423EA5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100%</w:t>
            </w:r>
          </w:p>
        </w:tc>
      </w:tr>
    </w:tbl>
    <w:p w14:paraId="04B7D400" w14:textId="53421A68" w:rsidR="00473600" w:rsidRPr="00B82816" w:rsidRDefault="00B82816" w:rsidP="000F2070">
      <w:pPr>
        <w:spacing w:beforeLines="60" w:before="144" w:afterLines="60" w:after="144"/>
        <w:jc w:val="both"/>
        <w:rPr>
          <w:lang w:val="fr-FR"/>
        </w:rPr>
      </w:pPr>
      <w:r w:rsidRPr="00B82816">
        <w:rPr>
          <w:lang w:val="fr-FR"/>
        </w:rPr>
        <w:t>Pour former les contributions annuelles de 33 États membres de l'IOFS, le pourcentage de chaque pays sur l</w:t>
      </w:r>
      <w:r w:rsidR="00860128">
        <w:rPr>
          <w:lang w:val="fr-FR"/>
        </w:rPr>
        <w:t>e barème</w:t>
      </w:r>
      <w:r w:rsidRPr="00B82816">
        <w:rPr>
          <w:lang w:val="fr-FR"/>
        </w:rPr>
        <w:t xml:space="preserve"> de l'OCI est pris comme base</w:t>
      </w:r>
      <w:r w:rsidR="00473600" w:rsidRPr="00B82816">
        <w:rPr>
          <w:lang w:val="fr-FR"/>
        </w:rPr>
        <w:t>.</w:t>
      </w:r>
    </w:p>
    <w:p w14:paraId="13954631" w14:textId="28ADD59B" w:rsidR="00101F34" w:rsidRDefault="00860128" w:rsidP="006014DD">
      <w:pPr>
        <w:jc w:val="both"/>
        <w:rPr>
          <w:b/>
          <w:bCs/>
          <w:i/>
          <w:iCs/>
          <w:u w:val="single"/>
          <w:lang w:val="fr-FR"/>
        </w:rPr>
      </w:pPr>
      <w:r w:rsidRPr="00860128">
        <w:rPr>
          <w:b/>
          <w:bCs/>
          <w:i/>
          <w:iCs/>
          <w:u w:val="single"/>
          <w:lang w:val="fr-FR"/>
        </w:rPr>
        <w:t>TABLEAU DES CONTRIBUTIONS DES ÉTATS MEMBRES DE L’</w:t>
      </w:r>
      <w:r>
        <w:rPr>
          <w:b/>
          <w:bCs/>
          <w:i/>
          <w:iCs/>
          <w:u w:val="single"/>
          <w:lang w:val="fr-FR"/>
        </w:rPr>
        <w:t>OISA</w:t>
      </w:r>
    </w:p>
    <w:p w14:paraId="2FE8760C" w14:textId="5F22F7C6" w:rsidR="00860128" w:rsidRDefault="00860128" w:rsidP="006014DD">
      <w:pPr>
        <w:jc w:val="both"/>
        <w:rPr>
          <w:b/>
          <w:bCs/>
          <w:i/>
          <w:iCs/>
          <w:u w:val="single"/>
          <w:lang w:val="fr-FR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1294"/>
        <w:gridCol w:w="883"/>
        <w:gridCol w:w="1408"/>
        <w:gridCol w:w="1276"/>
        <w:gridCol w:w="1276"/>
        <w:gridCol w:w="1275"/>
        <w:gridCol w:w="1276"/>
      </w:tblGrid>
      <w:tr w:rsidR="00860128" w:rsidRPr="007C471C" w14:paraId="245C9EE7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61B862F2" w14:textId="77777777" w:rsidR="00860128" w:rsidRPr="007C471C" w:rsidRDefault="00860128" w:rsidP="000F4BBE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No.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9B8C589" w14:textId="77777777" w:rsidR="00860128" w:rsidRPr="00D862BA" w:rsidRDefault="00860128" w:rsidP="000F4BBE">
            <w:pPr>
              <w:rPr>
                <w:b/>
                <w:bCs/>
                <w:color w:val="000000"/>
                <w:sz w:val="20"/>
                <w:szCs w:val="20"/>
                <w:lang w:val="fr-FR" w:eastAsia="ru-RU"/>
              </w:rPr>
            </w:pPr>
            <w:r w:rsidRPr="00D862BA">
              <w:rPr>
                <w:b/>
                <w:bCs/>
                <w:color w:val="000000"/>
                <w:sz w:val="20"/>
                <w:szCs w:val="20"/>
                <w:lang w:val="fr-FR" w:eastAsia="ru-RU"/>
              </w:rPr>
              <w:t xml:space="preserve">Les états membres de l’IOFS 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407F20FD" w14:textId="77777777" w:rsidR="00860128" w:rsidRPr="007C471C" w:rsidRDefault="00860128" w:rsidP="000F4BBE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Barème de l’</w:t>
            </w:r>
            <w:r w:rsidRPr="007C471C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OIC (%)</w:t>
            </w:r>
          </w:p>
        </w:tc>
        <w:tc>
          <w:tcPr>
            <w:tcW w:w="1408" w:type="dxa"/>
            <w:vAlign w:val="center"/>
          </w:tcPr>
          <w:p w14:paraId="68216C70" w14:textId="77777777" w:rsidR="00860128" w:rsidRPr="008D48EB" w:rsidRDefault="00860128" w:rsidP="000F4BBE">
            <w:pPr>
              <w:jc w:val="center"/>
              <w:rPr>
                <w:b/>
                <w:bCs/>
                <w:color w:val="000000"/>
                <w:sz w:val="20"/>
                <w:szCs w:val="20"/>
                <w:lang w:val="fr-FR" w:eastAsia="ru-RU"/>
              </w:rPr>
            </w:pPr>
            <w:r w:rsidRPr="007C471C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Indicators</w:t>
            </w:r>
            <w:r w:rsidRPr="007C471C">
              <w:rPr>
                <w:b/>
                <w:bCs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val="kk-KZ" w:eastAsia="ru-RU"/>
              </w:rPr>
              <w:t>i</w:t>
            </w:r>
            <w:r w:rsidRPr="007C471C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nitial</w:t>
            </w:r>
            <w:r>
              <w:rPr>
                <w:b/>
                <w:bCs/>
                <w:color w:val="000000"/>
                <w:sz w:val="20"/>
                <w:szCs w:val="20"/>
                <w:lang w:val="fr-FR" w:eastAsia="ru-RU"/>
              </w:rPr>
              <w:t>s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549FF6B" w14:textId="77777777" w:rsidR="00860128" w:rsidRPr="007C471C" w:rsidRDefault="00860128" w:rsidP="000F4BBE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Barème de l’OISA</w:t>
            </w:r>
            <w:r w:rsidRPr="007C471C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(%)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2D899F0" w14:textId="77777777" w:rsidR="00860128" w:rsidRPr="007C471C" w:rsidRDefault="00860128" w:rsidP="000F4BBE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2020 (USD)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A9685DF" w14:textId="77777777" w:rsidR="00860128" w:rsidRPr="007C471C" w:rsidRDefault="00860128" w:rsidP="000F4BBE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2021 (USD)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B9A9540" w14:textId="77777777" w:rsidR="00860128" w:rsidRPr="007C471C" w:rsidRDefault="00860128" w:rsidP="000F4BBE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2022 (USD)</w:t>
            </w:r>
          </w:p>
        </w:tc>
      </w:tr>
      <w:tr w:rsidR="00860128" w:rsidRPr="007C471C" w14:paraId="0529C2BF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1048D811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5595B6FA" w14:textId="77777777" w:rsidR="00860128" w:rsidRPr="00D862BA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D862B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6B997480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8" w:type="dxa"/>
            <w:vAlign w:val="center"/>
          </w:tcPr>
          <w:p w14:paraId="791750FA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E8A780A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12BDCCA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AC22453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4F85034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7</w:t>
            </w:r>
          </w:p>
        </w:tc>
      </w:tr>
      <w:tr w:rsidR="00860128" w:rsidRPr="007C471C" w14:paraId="0D34B2FC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2E20C36C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auto"/>
          </w:tcPr>
          <w:p w14:paraId="39F5DC41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Kazakhstan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280F712C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408" w:type="dxa"/>
            <w:vAlign w:val="center"/>
          </w:tcPr>
          <w:p w14:paraId="73756A5D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A7E79A0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10CFB77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477 349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A17E650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525 952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1EB5BFD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561 316</w:t>
            </w:r>
          </w:p>
        </w:tc>
      </w:tr>
      <w:tr w:rsidR="00860128" w:rsidRPr="007C471C" w14:paraId="6686FCBE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39C31842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94" w:type="dxa"/>
            <w:shd w:val="clear" w:color="auto" w:fill="auto"/>
          </w:tcPr>
          <w:p w14:paraId="0C8663FC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 xml:space="preserve">Arabie </w:t>
            </w:r>
            <w:r>
              <w:rPr>
                <w:sz w:val="20"/>
                <w:szCs w:val="20"/>
                <w:lang w:val="fr-FR"/>
              </w:rPr>
              <w:t>s</w:t>
            </w:r>
            <w:r w:rsidRPr="00D862BA">
              <w:rPr>
                <w:sz w:val="20"/>
                <w:szCs w:val="20"/>
              </w:rPr>
              <w:t>aoudite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1AB68361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408" w:type="dxa"/>
            <w:vAlign w:val="center"/>
          </w:tcPr>
          <w:p w14:paraId="66DAE8FE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15,63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729406C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15,16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4995B82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452 290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A584FD7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498 342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8FB94C3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531 849</w:t>
            </w:r>
          </w:p>
        </w:tc>
      </w:tr>
      <w:tr w:rsidR="00860128" w:rsidRPr="007C471C" w14:paraId="07EFFED2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639AE142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94" w:type="dxa"/>
            <w:shd w:val="clear" w:color="auto" w:fill="auto"/>
          </w:tcPr>
          <w:p w14:paraId="47C091D2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Koweit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41A6EDE5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408" w:type="dxa"/>
            <w:vAlign w:val="center"/>
          </w:tcPr>
          <w:p w14:paraId="3C014468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14,06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7AA17EF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13,60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364F09B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405 671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26F60C6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446 976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5E04627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477 031</w:t>
            </w:r>
          </w:p>
        </w:tc>
      </w:tr>
      <w:tr w:rsidR="00860128" w:rsidRPr="007C471C" w14:paraId="13BF212F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1D0F6EB0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94" w:type="dxa"/>
            <w:shd w:val="clear" w:color="auto" w:fill="auto"/>
          </w:tcPr>
          <w:p w14:paraId="74160731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Uni arabe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0C1ED106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408" w:type="dxa"/>
            <w:vAlign w:val="center"/>
          </w:tcPr>
          <w:p w14:paraId="15458E27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10,94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86B1FC6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10,47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0AEABD9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312 435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8037129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344 246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718F6C0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367 393</w:t>
            </w:r>
          </w:p>
        </w:tc>
      </w:tr>
      <w:tr w:rsidR="00860128" w:rsidRPr="007C471C" w14:paraId="19A24CE5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2668BE40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shd w:val="clear" w:color="auto" w:fill="auto"/>
          </w:tcPr>
          <w:p w14:paraId="1B575D3E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val="en-US" w:eastAsia="ru-RU"/>
              </w:rPr>
            </w:pPr>
            <w:r w:rsidRPr="00D862BA">
              <w:rPr>
                <w:sz w:val="20"/>
                <w:szCs w:val="20"/>
              </w:rPr>
              <w:t>Libye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01A0CBA6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408" w:type="dxa"/>
            <w:vAlign w:val="center"/>
          </w:tcPr>
          <w:p w14:paraId="10B154A8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9,38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E097118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8,91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B4496AC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265 816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1552AC4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292 881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B56525B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312 574</w:t>
            </w:r>
          </w:p>
        </w:tc>
      </w:tr>
      <w:tr w:rsidR="00860128" w:rsidRPr="007C471C" w14:paraId="0227A54B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026CACE2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4" w:type="dxa"/>
            <w:shd w:val="clear" w:color="auto" w:fill="auto"/>
          </w:tcPr>
          <w:p w14:paraId="1E311CB7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Iran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5D275E51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5,50</w:t>
            </w:r>
          </w:p>
        </w:tc>
        <w:tc>
          <w:tcPr>
            <w:tcW w:w="1408" w:type="dxa"/>
            <w:vAlign w:val="center"/>
          </w:tcPr>
          <w:p w14:paraId="4A5A1EFE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8,59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E63E0BE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8,13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8B1DD7F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242 507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A8B305F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267 199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8CB812F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285 165</w:t>
            </w:r>
          </w:p>
        </w:tc>
      </w:tr>
      <w:tr w:rsidR="00860128" w:rsidRPr="007C471C" w14:paraId="29AD1987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45FCF115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294" w:type="dxa"/>
            <w:shd w:val="clear" w:color="auto" w:fill="auto"/>
          </w:tcPr>
          <w:p w14:paraId="13B98D5F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Turquie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50713EB7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408" w:type="dxa"/>
            <w:vAlign w:val="center"/>
          </w:tcPr>
          <w:p w14:paraId="237FDE14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7,81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B7778CF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7,35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1628B58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219 198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C888969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241 516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D0C3DD7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257 755</w:t>
            </w:r>
          </w:p>
        </w:tc>
      </w:tr>
      <w:tr w:rsidR="00860128" w:rsidRPr="007C471C" w14:paraId="04C050F7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70B92143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4" w:type="dxa"/>
            <w:shd w:val="clear" w:color="auto" w:fill="auto"/>
          </w:tcPr>
          <w:p w14:paraId="093E03A6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Qatar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2B1EB7F8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3,50</w:t>
            </w:r>
          </w:p>
        </w:tc>
        <w:tc>
          <w:tcPr>
            <w:tcW w:w="1408" w:type="dxa"/>
            <w:vAlign w:val="center"/>
          </w:tcPr>
          <w:p w14:paraId="54847591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5,47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89F18A9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81F532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149 270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6A844EC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164 469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068EFB1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175 527</w:t>
            </w:r>
          </w:p>
        </w:tc>
      </w:tr>
      <w:tr w:rsidR="00860128" w:rsidRPr="007C471C" w14:paraId="18837749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60EECA5A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94" w:type="dxa"/>
            <w:shd w:val="clear" w:color="auto" w:fill="auto"/>
          </w:tcPr>
          <w:p w14:paraId="43D5C87F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Egypte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7B7975E4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408" w:type="dxa"/>
            <w:vAlign w:val="center"/>
          </w:tcPr>
          <w:p w14:paraId="7DACB026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3,13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4EE999D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2,66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08806F6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79 342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D7FC68F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87 421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9F148D2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93 299</w:t>
            </w:r>
          </w:p>
        </w:tc>
      </w:tr>
      <w:tr w:rsidR="00860128" w:rsidRPr="007C471C" w14:paraId="155F34BA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0683DA94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4" w:type="dxa"/>
            <w:shd w:val="clear" w:color="auto" w:fill="auto"/>
          </w:tcPr>
          <w:p w14:paraId="0B6515F1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Pakistan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40077E8A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408" w:type="dxa"/>
            <w:vAlign w:val="center"/>
          </w:tcPr>
          <w:p w14:paraId="7A8E529D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3,13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104531C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2,66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DF53F99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79 342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495B609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87 421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E754EDD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93 299</w:t>
            </w:r>
          </w:p>
        </w:tc>
      </w:tr>
      <w:tr w:rsidR="00860128" w:rsidRPr="007C471C" w14:paraId="128B09ED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00767F24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4" w:type="dxa"/>
            <w:shd w:val="clear" w:color="auto" w:fill="auto"/>
          </w:tcPr>
          <w:p w14:paraId="5CF84B10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Bangladesh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3C648D7D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408" w:type="dxa"/>
            <w:vAlign w:val="center"/>
          </w:tcPr>
          <w:p w14:paraId="7894D032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003FB90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3D67E48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32 724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6B76820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36 056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5225E5F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38 480</w:t>
            </w:r>
          </w:p>
        </w:tc>
      </w:tr>
      <w:tr w:rsidR="00860128" w:rsidRPr="007C471C" w14:paraId="0879B0AC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7B089166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94" w:type="dxa"/>
            <w:shd w:val="clear" w:color="auto" w:fill="auto"/>
          </w:tcPr>
          <w:p w14:paraId="12BF0120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Côte d'Ivoire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449AE0E5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408" w:type="dxa"/>
            <w:vAlign w:val="center"/>
          </w:tcPr>
          <w:p w14:paraId="04B29AD8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2EB084A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DA9E516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32 724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9C64D8B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36 056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7998B16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38 480</w:t>
            </w:r>
          </w:p>
        </w:tc>
      </w:tr>
      <w:tr w:rsidR="00860128" w:rsidRPr="007C471C" w14:paraId="5FBE01AE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3F7B7C9E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94" w:type="dxa"/>
            <w:shd w:val="clear" w:color="auto" w:fill="auto"/>
          </w:tcPr>
          <w:p w14:paraId="7F6893D5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Sénégal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69FC5BCC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408" w:type="dxa"/>
            <w:vAlign w:val="center"/>
          </w:tcPr>
          <w:p w14:paraId="115A800C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7EF0527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7A59D3C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32 724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78DC822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36 056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543A92E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38 480</w:t>
            </w:r>
          </w:p>
        </w:tc>
      </w:tr>
      <w:tr w:rsidR="00860128" w:rsidRPr="007C471C" w14:paraId="18CB61A4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1753645A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94" w:type="dxa"/>
            <w:shd w:val="clear" w:color="auto" w:fill="auto"/>
          </w:tcPr>
          <w:p w14:paraId="753D9900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val="en-US" w:eastAsia="ru-RU"/>
              </w:rPr>
            </w:pPr>
            <w:r w:rsidRPr="00D862BA">
              <w:rPr>
                <w:sz w:val="20"/>
                <w:szCs w:val="20"/>
              </w:rPr>
              <w:t>Soudan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572379B4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408" w:type="dxa"/>
            <w:vAlign w:val="center"/>
          </w:tcPr>
          <w:p w14:paraId="0700CD07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4C648D4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5E4CB34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32 724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55449BB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36 056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D9D5B7A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38 480</w:t>
            </w:r>
          </w:p>
        </w:tc>
      </w:tr>
      <w:tr w:rsidR="00860128" w:rsidRPr="007C471C" w14:paraId="24B04388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4D6D900B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94" w:type="dxa"/>
            <w:shd w:val="clear" w:color="auto" w:fill="auto"/>
          </w:tcPr>
          <w:p w14:paraId="7F3BCA10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Afghanistan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33C3C060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77B7E063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4283B09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66DB8E2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A5AB687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5193FC5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29F57C98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191B7F84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94" w:type="dxa"/>
            <w:shd w:val="clear" w:color="auto" w:fill="auto"/>
          </w:tcPr>
          <w:p w14:paraId="4EF7ACE4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Bénin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0EB07AAD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235EFC24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DFBBAE3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D3D46B9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2CED9CA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485BECC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410982AD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49B98D96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94" w:type="dxa"/>
            <w:shd w:val="clear" w:color="auto" w:fill="auto"/>
          </w:tcPr>
          <w:p w14:paraId="6E79A06F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Burkina Faso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4B0CC693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442ABFCE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70D29D6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F0AD515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D9D2E0B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1FC244E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341C8591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24E7057D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94" w:type="dxa"/>
            <w:shd w:val="clear" w:color="auto" w:fill="auto"/>
          </w:tcPr>
          <w:p w14:paraId="4DCA4056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Cameroun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6312F85C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69CEC872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CECB440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FCBD83C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A335F99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FE73658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4887075C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453CDCF9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94" w:type="dxa"/>
            <w:shd w:val="clear" w:color="auto" w:fill="auto"/>
          </w:tcPr>
          <w:p w14:paraId="4AF6195E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Les Comores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5E380DFA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277D2011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643E367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57794DF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7972088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BC7BC13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29B34212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7F3221D2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94" w:type="dxa"/>
            <w:shd w:val="clear" w:color="auto" w:fill="auto"/>
          </w:tcPr>
          <w:p w14:paraId="4148677B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Djibouti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11B6ACA2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28097940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E7D6126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B049A8F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AAA6325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5AA84BD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0463EDF6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5CFA664F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94" w:type="dxa"/>
            <w:shd w:val="clear" w:color="auto" w:fill="auto"/>
          </w:tcPr>
          <w:p w14:paraId="0D33C044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Gambie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1563A2D5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2A6A8CB6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4A4F8F5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7EFBCD9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32CB59D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5400747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44E4629B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08ACAE91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94" w:type="dxa"/>
            <w:shd w:val="clear" w:color="auto" w:fill="auto"/>
          </w:tcPr>
          <w:p w14:paraId="63B1ACFE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val="en-US" w:eastAsia="ru-RU"/>
              </w:rPr>
            </w:pPr>
            <w:r w:rsidRPr="00D862BA">
              <w:rPr>
                <w:sz w:val="20"/>
                <w:szCs w:val="20"/>
              </w:rPr>
              <w:t>Guinée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32466E95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530D0998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635E04A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BEA4914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6026811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55F5247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1D8A1439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08A7B4F8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94" w:type="dxa"/>
            <w:shd w:val="clear" w:color="auto" w:fill="auto"/>
          </w:tcPr>
          <w:p w14:paraId="24D64DB6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Guinée Bissau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4C6FFAC2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7EF3D4CA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B37544C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4A9DED2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3D5F7D4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2915C2E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0C9B0D1E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55369B6F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94" w:type="dxa"/>
            <w:shd w:val="clear" w:color="auto" w:fill="auto"/>
          </w:tcPr>
          <w:p w14:paraId="2AF5E22B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Mali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35F2543A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2C960F49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3D531AC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4DF5844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74A1F2A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19A6ED7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3BAD19A6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3352F7AA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94" w:type="dxa"/>
            <w:shd w:val="clear" w:color="auto" w:fill="auto"/>
          </w:tcPr>
          <w:p w14:paraId="10F3FE57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Mauritanie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7B711150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3BB235BB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C41097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2BD398A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0551DF4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C6AE3AC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68EAC2F0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7ABDB8D0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294" w:type="dxa"/>
            <w:shd w:val="clear" w:color="auto" w:fill="auto"/>
          </w:tcPr>
          <w:p w14:paraId="5B67F6A7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Mozambique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3E6E3E82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2660D2E6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B879AF1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C500424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4BBA4D5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DAF4B5C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2863B8AC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11456C13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294" w:type="dxa"/>
            <w:shd w:val="clear" w:color="auto" w:fill="auto"/>
          </w:tcPr>
          <w:p w14:paraId="2F4FC42F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Niger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22260A28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28605429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2896225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B86D03A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DEF100C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7476112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246FDD1E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14B05CC1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294" w:type="dxa"/>
            <w:shd w:val="clear" w:color="auto" w:fill="auto"/>
          </w:tcPr>
          <w:p w14:paraId="4CE3096A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Sierra Leone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3CED1547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6E56229A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97A57AA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5822059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C1FDF75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DCC5F45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4C4ACEF8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728295E5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94" w:type="dxa"/>
            <w:shd w:val="clear" w:color="auto" w:fill="auto"/>
          </w:tcPr>
          <w:p w14:paraId="16BD75C5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Somalie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7D5BB88A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42C38C41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2E878D8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B70F181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6ED9F15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4FCAB77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6CA7F952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6CF2D8A8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94" w:type="dxa"/>
            <w:shd w:val="clear" w:color="auto" w:fill="auto"/>
          </w:tcPr>
          <w:p w14:paraId="3B6E99B2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Suriname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1D0B1476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4D1CC1B1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33F806F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62F1A10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8079555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5F8963A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396379AF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0314BF38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94" w:type="dxa"/>
            <w:shd w:val="clear" w:color="auto" w:fill="auto"/>
          </w:tcPr>
          <w:p w14:paraId="4DF887B5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Tadjikistan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527B05B8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549741F4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9CA0CE0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75CC20B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C8D0393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8CF0799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12752254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38400737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294" w:type="dxa"/>
            <w:shd w:val="clear" w:color="auto" w:fill="auto"/>
          </w:tcPr>
          <w:p w14:paraId="0B619E41" w14:textId="77777777" w:rsidR="00860128" w:rsidRPr="00D862BA" w:rsidRDefault="00860128" w:rsidP="000F4BBE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62BA">
              <w:rPr>
                <w:sz w:val="20"/>
                <w:szCs w:val="20"/>
              </w:rPr>
              <w:t>Ouganda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3B00CBDA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408" w:type="dxa"/>
            <w:vAlign w:val="center"/>
          </w:tcPr>
          <w:p w14:paraId="2899326E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</w:rPr>
            </w:pPr>
            <w:r w:rsidRPr="007C471C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8305D56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27968A3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9 415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6AFF820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10 373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7CEC555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11 071</w:t>
            </w:r>
          </w:p>
        </w:tc>
      </w:tr>
      <w:tr w:rsidR="00860128" w:rsidRPr="007C471C" w14:paraId="21FE774B" w14:textId="77777777" w:rsidTr="000F4BBE">
        <w:trPr>
          <w:trHeight w:val="302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32B298D4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94" w:type="dxa"/>
            <w:shd w:val="clear" w:color="auto" w:fill="auto"/>
          </w:tcPr>
          <w:p w14:paraId="089DCC38" w14:textId="609C90DE" w:rsidR="00860128" w:rsidRPr="00D862BA" w:rsidRDefault="00860128" w:rsidP="000F4BBE">
            <w:pPr>
              <w:rPr>
                <w:color w:val="000000"/>
                <w:sz w:val="20"/>
                <w:szCs w:val="20"/>
                <w:lang w:val="en-US" w:eastAsia="ru-RU"/>
              </w:rPr>
            </w:pPr>
            <w:r w:rsidRPr="00D862BA">
              <w:rPr>
                <w:sz w:val="20"/>
                <w:szCs w:val="20"/>
              </w:rPr>
              <w:t xml:space="preserve">Palestine 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28B03399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vAlign w:val="center"/>
          </w:tcPr>
          <w:p w14:paraId="0AB8315A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74A0915" w14:textId="77777777" w:rsidR="00860128" w:rsidRPr="007C471C" w:rsidRDefault="00860128" w:rsidP="000F4BB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 0,00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E4B5E18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C659509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0135DB4" w14:textId="77777777" w:rsidR="00860128" w:rsidRPr="007C471C" w:rsidRDefault="00860128" w:rsidP="000F4BBE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color w:val="000000"/>
                <w:sz w:val="20"/>
                <w:szCs w:val="20"/>
              </w:rPr>
              <w:t>0</w:t>
            </w:r>
          </w:p>
        </w:tc>
      </w:tr>
      <w:tr w:rsidR="00860128" w:rsidRPr="007C471C" w14:paraId="6BB3DF1B" w14:textId="77777777" w:rsidTr="000F4BBE">
        <w:trPr>
          <w:trHeight w:val="317"/>
          <w:jc w:val="center"/>
        </w:trPr>
        <w:tc>
          <w:tcPr>
            <w:tcW w:w="521" w:type="dxa"/>
            <w:shd w:val="clear" w:color="auto" w:fill="auto"/>
            <w:vAlign w:val="center"/>
          </w:tcPr>
          <w:p w14:paraId="3A3334DD" w14:textId="77777777" w:rsidR="00860128" w:rsidRPr="007C471C" w:rsidRDefault="00860128" w:rsidP="000F4BBE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597FDA1A" w14:textId="77777777" w:rsidR="00860128" w:rsidRPr="00D862BA" w:rsidRDefault="00860128" w:rsidP="000F4BBE">
            <w:pPr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D862BA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TOTAL</w:t>
            </w:r>
          </w:p>
        </w:tc>
        <w:tc>
          <w:tcPr>
            <w:tcW w:w="883" w:type="dxa"/>
            <w:shd w:val="clear" w:color="auto" w:fill="auto"/>
            <w:vAlign w:val="bottom"/>
          </w:tcPr>
          <w:p w14:paraId="18DEECCB" w14:textId="77777777" w:rsidR="00860128" w:rsidRPr="007C471C" w:rsidRDefault="00860128" w:rsidP="000F4BBE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b/>
                <w:bCs/>
                <w:color w:val="000000"/>
                <w:sz w:val="20"/>
                <w:szCs w:val="20"/>
              </w:rPr>
              <w:t>64,00</w:t>
            </w:r>
          </w:p>
        </w:tc>
        <w:tc>
          <w:tcPr>
            <w:tcW w:w="1408" w:type="dxa"/>
            <w:vAlign w:val="bottom"/>
          </w:tcPr>
          <w:p w14:paraId="3B2ED6F4" w14:textId="77777777" w:rsidR="00860128" w:rsidRPr="007C471C" w:rsidRDefault="00860128" w:rsidP="000F4B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471C"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EF912C1" w14:textId="77777777" w:rsidR="00860128" w:rsidRPr="007C471C" w:rsidRDefault="00860128" w:rsidP="000F4BBE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4512DDD" w14:textId="77777777" w:rsidR="00860128" w:rsidRPr="007C471C" w:rsidRDefault="00860128" w:rsidP="000F4BBE">
            <w:pPr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b/>
                <w:bCs/>
                <w:color w:val="000000"/>
                <w:sz w:val="20"/>
                <w:szCs w:val="20"/>
              </w:rPr>
              <w:t>2 983 580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39593028" w14:textId="77777777" w:rsidR="00860128" w:rsidRPr="007C471C" w:rsidRDefault="00860128" w:rsidP="000F4BBE">
            <w:pPr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b/>
                <w:bCs/>
                <w:color w:val="000000"/>
                <w:sz w:val="20"/>
                <w:szCs w:val="20"/>
              </w:rPr>
              <w:t>3 287 365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D994334" w14:textId="77777777" w:rsidR="00860128" w:rsidRPr="007C471C" w:rsidRDefault="00860128" w:rsidP="000F4BBE">
            <w:pPr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471C">
              <w:rPr>
                <w:b/>
                <w:bCs/>
                <w:color w:val="000000"/>
                <w:sz w:val="20"/>
                <w:szCs w:val="20"/>
              </w:rPr>
              <w:t>3 508 403</w:t>
            </w:r>
          </w:p>
        </w:tc>
      </w:tr>
    </w:tbl>
    <w:p w14:paraId="5B885526" w14:textId="77777777" w:rsidR="00860128" w:rsidRPr="00860128" w:rsidRDefault="00860128" w:rsidP="006014DD">
      <w:pPr>
        <w:jc w:val="both"/>
        <w:rPr>
          <w:b/>
          <w:bCs/>
          <w:i/>
          <w:iCs/>
          <w:u w:val="single"/>
          <w:lang w:val="fr-FR"/>
        </w:rPr>
      </w:pPr>
    </w:p>
    <w:p w14:paraId="765F81C6" w14:textId="368F2A59" w:rsidR="002E437A" w:rsidRPr="00860128" w:rsidRDefault="00860128" w:rsidP="002E437A">
      <w:pPr>
        <w:spacing w:beforeLines="60" w:before="144" w:afterLines="60" w:after="144"/>
        <w:jc w:val="both"/>
        <w:rPr>
          <w:lang w:val="fr-FR"/>
        </w:rPr>
      </w:pPr>
      <w:r w:rsidRPr="00860128">
        <w:rPr>
          <w:b/>
          <w:bCs/>
          <w:lang w:val="fr-FR"/>
        </w:rPr>
        <w:t>Colonne 1. Disposition des Etats en ordre décroissant de pourcentage</w:t>
      </w:r>
      <w:r w:rsidR="002E437A" w:rsidRPr="00860128">
        <w:rPr>
          <w:b/>
          <w:bCs/>
          <w:lang w:val="fr-FR"/>
        </w:rPr>
        <w:t>.</w:t>
      </w:r>
    </w:p>
    <w:p w14:paraId="49028DC7" w14:textId="42BD21F4" w:rsidR="002E437A" w:rsidRPr="00EF4514" w:rsidRDefault="00EF4514" w:rsidP="002E437A">
      <w:pPr>
        <w:spacing w:beforeLines="60" w:before="144" w:afterLines="60" w:after="144"/>
        <w:jc w:val="both"/>
        <w:rPr>
          <w:lang w:val="fr-FR"/>
        </w:rPr>
      </w:pPr>
      <w:r w:rsidRPr="00EF4514">
        <w:rPr>
          <w:lang w:val="fr-FR"/>
        </w:rPr>
        <w:t>Les États sont classés par ordre décroissant de pourcentage</w:t>
      </w:r>
      <w:r w:rsidR="002E437A" w:rsidRPr="00EF4514">
        <w:rPr>
          <w:lang w:val="fr-FR"/>
        </w:rPr>
        <w:t>.</w:t>
      </w:r>
    </w:p>
    <w:p w14:paraId="0205E716" w14:textId="698C7115" w:rsidR="002E437A" w:rsidRPr="00EF4514" w:rsidRDefault="00EF4514" w:rsidP="002E437A">
      <w:pPr>
        <w:spacing w:beforeLines="60" w:before="144" w:afterLines="60" w:after="144"/>
        <w:jc w:val="both"/>
        <w:rPr>
          <w:lang w:val="fr-FR"/>
        </w:rPr>
      </w:pPr>
      <w:r w:rsidRPr="00EF4514">
        <w:rPr>
          <w:lang w:val="fr-FR"/>
        </w:rPr>
        <w:t>Sur la base des facteurs suivants, la première position spéciale est déterminée</w:t>
      </w:r>
      <w:r w:rsidR="002E437A" w:rsidRPr="00EF4514">
        <w:rPr>
          <w:lang w:val="fr-FR"/>
        </w:rPr>
        <w:t>:</w:t>
      </w:r>
    </w:p>
    <w:p w14:paraId="5CE77754" w14:textId="77777777" w:rsidR="00EF4514" w:rsidRPr="00EF4514" w:rsidRDefault="00EF4514" w:rsidP="00EF4514">
      <w:pPr>
        <w:spacing w:beforeLines="60" w:before="144" w:afterLines="60" w:after="144"/>
        <w:jc w:val="both"/>
        <w:rPr>
          <w:lang w:val="fr-FR"/>
        </w:rPr>
      </w:pPr>
      <w:r w:rsidRPr="00EF4514">
        <w:rPr>
          <w:lang w:val="fr-FR"/>
        </w:rPr>
        <w:t>- l'Etat initiant la création,</w:t>
      </w:r>
    </w:p>
    <w:p w14:paraId="36D9BC84" w14:textId="77777777" w:rsidR="00EF4514" w:rsidRPr="00EF4514" w:rsidRDefault="00EF4514" w:rsidP="00EF4514">
      <w:pPr>
        <w:spacing w:beforeLines="60" w:before="144" w:afterLines="60" w:after="144"/>
        <w:jc w:val="both"/>
        <w:rPr>
          <w:lang w:val="fr-FR"/>
        </w:rPr>
      </w:pPr>
      <w:r w:rsidRPr="00EF4514">
        <w:rPr>
          <w:lang w:val="fr-FR"/>
        </w:rPr>
        <w:t>- Etat hôte</w:t>
      </w:r>
    </w:p>
    <w:p w14:paraId="45D2398D" w14:textId="5A21D61D" w:rsidR="002E437A" w:rsidRPr="00EF4514" w:rsidRDefault="00EF4514" w:rsidP="00EF4514">
      <w:pPr>
        <w:spacing w:beforeLines="60" w:before="144" w:afterLines="60" w:after="144"/>
        <w:jc w:val="both"/>
        <w:rPr>
          <w:lang w:val="fr-FR"/>
        </w:rPr>
      </w:pPr>
      <w:r w:rsidRPr="00EF4514">
        <w:rPr>
          <w:lang w:val="fr-FR"/>
        </w:rPr>
        <w:t>- Etat du financement initial</w:t>
      </w:r>
      <w:r w:rsidR="002E437A" w:rsidRPr="00EF4514">
        <w:rPr>
          <w:lang w:val="fr-FR"/>
        </w:rPr>
        <w:t>.</w:t>
      </w:r>
    </w:p>
    <w:p w14:paraId="36486B59" w14:textId="6A247207" w:rsidR="002E437A" w:rsidRPr="00EF4514" w:rsidRDefault="00EF4514" w:rsidP="00347829">
      <w:pPr>
        <w:spacing w:beforeLines="60" w:before="144" w:afterLines="60" w:after="144"/>
        <w:jc w:val="both"/>
        <w:rPr>
          <w:b/>
          <w:bCs/>
          <w:lang w:val="fr-FR"/>
        </w:rPr>
      </w:pPr>
      <w:r w:rsidRPr="00EF4514">
        <w:rPr>
          <w:b/>
          <w:bCs/>
          <w:lang w:val="fr-FR"/>
        </w:rPr>
        <w:t>Colonne 2. Pourcentage d'États membres de l'</w:t>
      </w:r>
      <w:r>
        <w:rPr>
          <w:b/>
          <w:bCs/>
          <w:lang w:val="fr-FR"/>
        </w:rPr>
        <w:t>OISA</w:t>
      </w:r>
      <w:r w:rsidRPr="00EF4514">
        <w:rPr>
          <w:b/>
          <w:bCs/>
          <w:lang w:val="fr-FR"/>
        </w:rPr>
        <w:t xml:space="preserve"> sur l'échelle de l'OCI</w:t>
      </w:r>
    </w:p>
    <w:p w14:paraId="576FAE11" w14:textId="73EE7471" w:rsidR="000B2283" w:rsidRPr="00EF4514" w:rsidRDefault="00EF4514" w:rsidP="00347829">
      <w:pPr>
        <w:spacing w:beforeLines="60" w:before="144" w:afterLines="60" w:after="144"/>
        <w:jc w:val="both"/>
        <w:rPr>
          <w:b/>
          <w:bCs/>
          <w:lang w:val="fr-FR"/>
        </w:rPr>
      </w:pPr>
      <w:r w:rsidRPr="00EF4514">
        <w:rPr>
          <w:b/>
          <w:bCs/>
          <w:lang w:val="fr-FR"/>
        </w:rPr>
        <w:t>Colonne 3. Définition des indicateurs initiaux</w:t>
      </w:r>
    </w:p>
    <w:p w14:paraId="19F21381" w14:textId="661620F0" w:rsidR="002E437A" w:rsidRDefault="00EF4514" w:rsidP="00347829">
      <w:pPr>
        <w:spacing w:beforeLines="60" w:before="144" w:afterLines="60" w:after="144"/>
        <w:jc w:val="both"/>
        <w:rPr>
          <w:lang w:val="kk-KZ"/>
        </w:rPr>
      </w:pPr>
      <w:r w:rsidRPr="00EF4514">
        <w:rPr>
          <w:lang w:val="kk-KZ"/>
        </w:rPr>
        <w:t>Afin de garder la proportionnalité des actions sur la base de l'échelle de l'OCI, nous déterminons les indicateurs initiaux sur la base de 33 États au lieu de 57 États</w:t>
      </w:r>
      <w:r w:rsidR="002E437A" w:rsidRPr="002E437A">
        <w:rPr>
          <w:lang w:val="kk-KZ"/>
        </w:rPr>
        <w:t>.</w:t>
      </w:r>
    </w:p>
    <w:p w14:paraId="4AA2C7A2" w14:textId="5FD2CB52" w:rsidR="002E437A" w:rsidRPr="00EF4514" w:rsidRDefault="00EF4514" w:rsidP="002E437A">
      <w:pPr>
        <w:spacing w:beforeLines="60" w:before="144" w:afterLines="60" w:after="144"/>
        <w:jc w:val="both"/>
        <w:rPr>
          <w:b/>
          <w:bCs/>
          <w:lang w:val="fr-FR"/>
        </w:rPr>
      </w:pPr>
      <w:r w:rsidRPr="00EF4514">
        <w:rPr>
          <w:b/>
          <w:bCs/>
          <w:lang w:val="fr-FR"/>
        </w:rPr>
        <w:t>Colonne 4. Formation d</w:t>
      </w:r>
      <w:r>
        <w:rPr>
          <w:b/>
          <w:bCs/>
          <w:lang w:val="fr-FR"/>
        </w:rPr>
        <w:t>u barème</w:t>
      </w:r>
      <w:r w:rsidRPr="00EF4514">
        <w:rPr>
          <w:b/>
          <w:bCs/>
          <w:lang w:val="fr-FR"/>
        </w:rPr>
        <w:t xml:space="preserve"> pour les États membres de l'</w:t>
      </w:r>
      <w:r w:rsidR="00620B0E">
        <w:rPr>
          <w:b/>
          <w:bCs/>
          <w:lang w:val="fr-FR"/>
        </w:rPr>
        <w:t>OISA</w:t>
      </w:r>
      <w:bookmarkStart w:id="1" w:name="_GoBack"/>
      <w:bookmarkEnd w:id="1"/>
      <w:r w:rsidR="002E437A" w:rsidRPr="00EF4514">
        <w:rPr>
          <w:b/>
          <w:bCs/>
          <w:lang w:val="fr-FR"/>
        </w:rPr>
        <w:t>.</w:t>
      </w:r>
    </w:p>
    <w:p w14:paraId="25E4FD0D" w14:textId="77777777" w:rsidR="00EF4514" w:rsidRPr="00EF4514" w:rsidRDefault="00EF4514" w:rsidP="00EF4514">
      <w:pPr>
        <w:spacing w:beforeLines="60" w:before="144" w:afterLines="60" w:after="144"/>
        <w:jc w:val="both"/>
        <w:rPr>
          <w:lang w:val="fr-FR"/>
        </w:rPr>
      </w:pPr>
      <w:r w:rsidRPr="00EF4514">
        <w:rPr>
          <w:lang w:val="fr-FR"/>
        </w:rPr>
        <w:lastRenderedPageBreak/>
        <w:t>Afin de répartir équitablement les actions, en tenant compte des facteurs susmentionnés pour la première position, l’indicateur le plus élevé (16%) a été déterminé.</w:t>
      </w:r>
    </w:p>
    <w:p w14:paraId="5B045580" w14:textId="2BCB5FE7" w:rsidR="002E437A" w:rsidRPr="00EF4514" w:rsidRDefault="00EF4514" w:rsidP="00EF4514">
      <w:pPr>
        <w:spacing w:beforeLines="60" w:before="144" w:afterLines="60" w:after="144"/>
        <w:jc w:val="both"/>
        <w:rPr>
          <w:lang w:val="fr-FR"/>
        </w:rPr>
      </w:pPr>
      <w:r w:rsidRPr="00EF4514">
        <w:rPr>
          <w:lang w:val="fr-FR"/>
        </w:rPr>
        <w:t>Afin de maintenir la proportionnalité, il est nécessaire de soustraire de manière égale le chiffre le plus élevé ci-dessus aux autres pays membres de l'</w:t>
      </w:r>
      <w:r>
        <w:rPr>
          <w:lang w:val="fr-FR"/>
        </w:rPr>
        <w:t>OISA</w:t>
      </w:r>
      <w:r w:rsidR="002E437A" w:rsidRPr="00EF4514">
        <w:rPr>
          <w:lang w:val="fr-FR"/>
        </w:rPr>
        <w:t>.</w:t>
      </w:r>
    </w:p>
    <w:p w14:paraId="37E4F14B" w14:textId="6DBACEFA" w:rsidR="00DD66AA" w:rsidRDefault="006F1DC9" w:rsidP="00347829">
      <w:pPr>
        <w:spacing w:beforeLines="60" w:before="144" w:afterLines="60" w:after="144"/>
        <w:jc w:val="both"/>
      </w:pPr>
      <w:r w:rsidRPr="006F1DC9">
        <w:t>Formul</w:t>
      </w:r>
      <w:r w:rsidR="00EF4514">
        <w:rPr>
          <w:lang w:val="fr-FR"/>
        </w:rPr>
        <w:t>e</w:t>
      </w:r>
      <w:r w:rsidRPr="006F1DC9">
        <w:t>:</w:t>
      </w:r>
    </w:p>
    <w:tbl>
      <w:tblPr>
        <w:tblStyle w:val="a4"/>
        <w:tblW w:w="950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52"/>
        <w:gridCol w:w="7314"/>
      </w:tblGrid>
      <w:tr w:rsidR="00AB1545" w:rsidRPr="00EF4514" w14:paraId="2B8F62B6" w14:textId="77777777" w:rsidTr="00AB1545">
        <w:tc>
          <w:tcPr>
            <w:tcW w:w="1838" w:type="dxa"/>
          </w:tcPr>
          <w:p w14:paraId="4C86F1E5" w14:textId="6ABB74E2" w:rsidR="00AB1545" w:rsidRDefault="00EF4514" w:rsidP="00347829">
            <w:pPr>
              <w:spacing w:beforeLines="60" w:before="144" w:afterLines="60" w:after="144"/>
              <w:jc w:val="both"/>
            </w:pPr>
            <w:r w:rsidRPr="00EF4514">
              <w:t>Valeur moyenne</w:t>
            </w:r>
            <w:r w:rsidRPr="00EF4514">
              <w:t xml:space="preserve"> </w:t>
            </w:r>
            <w:r w:rsidR="006F1DC9" w:rsidRPr="006F1DC9">
              <w:t>(</w:t>
            </w:r>
            <w:r>
              <w:rPr>
                <w:lang w:val="fr-FR"/>
              </w:rPr>
              <w:t>le pas</w:t>
            </w:r>
            <w:r w:rsidR="006F1DC9" w:rsidRPr="006F1DC9">
              <w:t>)</w:t>
            </w:r>
          </w:p>
        </w:tc>
        <w:tc>
          <w:tcPr>
            <w:tcW w:w="352" w:type="dxa"/>
            <w:vAlign w:val="center"/>
          </w:tcPr>
          <w:p w14:paraId="792C3116" w14:textId="1533430F" w:rsidR="00AB1545" w:rsidRDefault="00AB1545" w:rsidP="00347829">
            <w:pPr>
              <w:spacing w:beforeLines="60" w:before="144" w:afterLines="60" w:after="144"/>
              <w:jc w:val="both"/>
            </w:pPr>
            <w:r>
              <w:t>=</w:t>
            </w:r>
          </w:p>
        </w:tc>
        <w:tc>
          <w:tcPr>
            <w:tcW w:w="7314" w:type="dxa"/>
          </w:tcPr>
          <w:p w14:paraId="547675F3" w14:textId="498D2D7F" w:rsidR="00AB1545" w:rsidRDefault="00EF4514" w:rsidP="0090379D">
            <w:pPr>
              <w:pBdr>
                <w:bottom w:val="single" w:sz="12" w:space="1" w:color="auto"/>
              </w:pBdr>
              <w:jc w:val="center"/>
              <w:rPr>
                <w:lang w:val="kk-KZ"/>
              </w:rPr>
            </w:pPr>
            <w:r w:rsidRPr="00EF4514">
              <w:rPr>
                <w:lang w:val="kk-KZ"/>
              </w:rPr>
              <w:t>l'indicateur le plus élevé</w:t>
            </w:r>
            <w:r w:rsidRPr="00EF4514">
              <w:rPr>
                <w:lang w:val="kk-KZ"/>
              </w:rPr>
              <w:t xml:space="preserve"> </w:t>
            </w:r>
            <w:r w:rsidR="006F1DC9" w:rsidRPr="00EF4514">
              <w:rPr>
                <w:lang w:val="fr-FR"/>
              </w:rPr>
              <w:t>-</w:t>
            </w:r>
            <w:r w:rsidR="006F1DC9" w:rsidRPr="006F1DC9">
              <w:rPr>
                <w:lang w:val="kk-KZ"/>
              </w:rPr>
              <w:t xml:space="preserve"> </w:t>
            </w:r>
            <w:r w:rsidRPr="00EF4514">
              <w:rPr>
                <w:lang w:val="kk-KZ"/>
              </w:rPr>
              <w:t>l'indicateur initial du pays en première position</w:t>
            </w:r>
          </w:p>
          <w:p w14:paraId="48173A60" w14:textId="77777777" w:rsidR="00EF4514" w:rsidRPr="00F96F2F" w:rsidRDefault="00EF4514" w:rsidP="0090379D">
            <w:pPr>
              <w:pBdr>
                <w:bottom w:val="single" w:sz="12" w:space="1" w:color="auto"/>
              </w:pBdr>
              <w:jc w:val="center"/>
              <w:rPr>
                <w:lang w:val="kk-KZ"/>
              </w:rPr>
            </w:pPr>
          </w:p>
          <w:p w14:paraId="3EFC50EC" w14:textId="2435CEB0" w:rsidR="00EF4514" w:rsidRPr="00EF4514" w:rsidRDefault="00EF4514" w:rsidP="00EF4514">
            <w:pPr>
              <w:jc w:val="center"/>
              <w:rPr>
                <w:lang w:val="fr-FR"/>
              </w:rPr>
            </w:pPr>
            <w:r w:rsidRPr="00EF4514">
              <w:rPr>
                <w:lang w:val="fr-FR"/>
              </w:rPr>
              <w:t>la quantité d'États membres de l'</w:t>
            </w:r>
            <w:r>
              <w:rPr>
                <w:lang w:val="fr-FR"/>
              </w:rPr>
              <w:t>OISA</w:t>
            </w:r>
          </w:p>
          <w:p w14:paraId="2F6407E3" w14:textId="70B9373D" w:rsidR="00AB1545" w:rsidRPr="00EF4514" w:rsidRDefault="00EF4514" w:rsidP="00EF4514">
            <w:pPr>
              <w:jc w:val="center"/>
              <w:rPr>
                <w:lang w:val="fr-FR"/>
              </w:rPr>
            </w:pPr>
            <w:r w:rsidRPr="00EF4514">
              <w:rPr>
                <w:lang w:val="fr-FR"/>
              </w:rPr>
              <w:t>sauf les première et dernière positions</w:t>
            </w:r>
          </w:p>
        </w:tc>
      </w:tr>
    </w:tbl>
    <w:p w14:paraId="3CD4E3BA" w14:textId="526F33C9" w:rsidR="006F1DC9" w:rsidRPr="00EF4514" w:rsidRDefault="00EF4514" w:rsidP="00347829">
      <w:pPr>
        <w:spacing w:beforeLines="60" w:before="144" w:afterLines="60" w:after="144"/>
        <w:jc w:val="both"/>
        <w:rPr>
          <w:lang w:val="fr-FR"/>
        </w:rPr>
      </w:pPr>
      <w:r w:rsidRPr="00EF4514">
        <w:rPr>
          <w:lang w:val="fr-FR"/>
        </w:rPr>
        <w:t xml:space="preserve">En outre, pour former l’échelle </w:t>
      </w:r>
      <w:r>
        <w:rPr>
          <w:lang w:val="fr-FR"/>
        </w:rPr>
        <w:t>OISA</w:t>
      </w:r>
      <w:r w:rsidRPr="00EF4514">
        <w:rPr>
          <w:lang w:val="fr-FR"/>
        </w:rPr>
        <w:t xml:space="preserve"> à partir du pourcentage de chaque État à partir des indicateurs initiaux (à l’exception des première et dernière positions), nous soustrayons la valeur moyenne obtenue et déterminons le pourcentage d’États</w:t>
      </w:r>
      <w:r w:rsidR="006F1DC9" w:rsidRPr="00EF4514">
        <w:rPr>
          <w:lang w:val="fr-FR"/>
        </w:rPr>
        <w:t>.</w:t>
      </w:r>
    </w:p>
    <w:p w14:paraId="51887520" w14:textId="0DB7CB8B" w:rsidR="006F1DC9" w:rsidRPr="00EF4514" w:rsidRDefault="00EF4514" w:rsidP="00347829">
      <w:pPr>
        <w:spacing w:beforeLines="60" w:before="144" w:afterLines="60" w:after="144"/>
        <w:jc w:val="both"/>
        <w:rPr>
          <w:b/>
          <w:bCs/>
          <w:lang w:val="fr-FR"/>
        </w:rPr>
      </w:pPr>
      <w:r w:rsidRPr="00EF4514">
        <w:rPr>
          <w:b/>
          <w:bCs/>
          <w:lang w:val="fr-FR"/>
        </w:rPr>
        <w:t>Colonnes 5, 6 et 7. Contributions (en dollars des États-Unis) des États membres de l'</w:t>
      </w:r>
      <w:r>
        <w:rPr>
          <w:b/>
          <w:bCs/>
          <w:lang w:val="fr-FR"/>
        </w:rPr>
        <w:t>OISA</w:t>
      </w:r>
      <w:r w:rsidRPr="00EF4514">
        <w:rPr>
          <w:b/>
          <w:bCs/>
          <w:lang w:val="fr-FR"/>
        </w:rPr>
        <w:t xml:space="preserve"> sur la base du pourcentage des montants budgétaires totaux prévus pour 2020-2022, respectivement</w:t>
      </w:r>
      <w:r w:rsidR="006F1DC9" w:rsidRPr="00EF4514">
        <w:rPr>
          <w:b/>
          <w:bCs/>
          <w:lang w:val="fr-FR"/>
        </w:rPr>
        <w:t>.</w:t>
      </w:r>
    </w:p>
    <w:sectPr w:rsidR="006F1DC9" w:rsidRPr="00EF4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0317A" w14:textId="77777777" w:rsidR="00EF12FB" w:rsidRDefault="00EF12FB" w:rsidP="00110660">
      <w:r>
        <w:separator/>
      </w:r>
    </w:p>
  </w:endnote>
  <w:endnote w:type="continuationSeparator" w:id="0">
    <w:p w14:paraId="0E85ECEA" w14:textId="77777777" w:rsidR="00EF12FB" w:rsidRDefault="00EF12FB" w:rsidP="00110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79BCC" w14:textId="77777777" w:rsidR="00EF12FB" w:rsidRDefault="00EF12FB" w:rsidP="00110660">
      <w:r>
        <w:separator/>
      </w:r>
    </w:p>
  </w:footnote>
  <w:footnote w:type="continuationSeparator" w:id="0">
    <w:p w14:paraId="142B94FE" w14:textId="77777777" w:rsidR="00EF12FB" w:rsidRDefault="00EF12FB" w:rsidP="00110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9E3"/>
    <w:rsid w:val="00080BD2"/>
    <w:rsid w:val="00094AAF"/>
    <w:rsid w:val="000B2283"/>
    <w:rsid w:val="000F2070"/>
    <w:rsid w:val="00101F34"/>
    <w:rsid w:val="00110660"/>
    <w:rsid w:val="001153A2"/>
    <w:rsid w:val="001411FD"/>
    <w:rsid w:val="001467CC"/>
    <w:rsid w:val="00177ECF"/>
    <w:rsid w:val="001872DE"/>
    <w:rsid w:val="001928E9"/>
    <w:rsid w:val="001A18CF"/>
    <w:rsid w:val="001D70D8"/>
    <w:rsid w:val="001F79A9"/>
    <w:rsid w:val="002571D7"/>
    <w:rsid w:val="00257A77"/>
    <w:rsid w:val="00271C0B"/>
    <w:rsid w:val="00285F06"/>
    <w:rsid w:val="00296C85"/>
    <w:rsid w:val="002A597D"/>
    <w:rsid w:val="002D71D4"/>
    <w:rsid w:val="002E437A"/>
    <w:rsid w:val="00347829"/>
    <w:rsid w:val="0035218D"/>
    <w:rsid w:val="00357E68"/>
    <w:rsid w:val="00375F90"/>
    <w:rsid w:val="003A037D"/>
    <w:rsid w:val="003B0B25"/>
    <w:rsid w:val="003E3AB7"/>
    <w:rsid w:val="003F5766"/>
    <w:rsid w:val="003F69E3"/>
    <w:rsid w:val="0041077F"/>
    <w:rsid w:val="00416BF5"/>
    <w:rsid w:val="0043437F"/>
    <w:rsid w:val="00473600"/>
    <w:rsid w:val="0048254C"/>
    <w:rsid w:val="004C2E7C"/>
    <w:rsid w:val="00522E4A"/>
    <w:rsid w:val="0053617D"/>
    <w:rsid w:val="005369BA"/>
    <w:rsid w:val="00564ADA"/>
    <w:rsid w:val="006014DD"/>
    <w:rsid w:val="00615B04"/>
    <w:rsid w:val="00620B0E"/>
    <w:rsid w:val="00630BD7"/>
    <w:rsid w:val="00640E83"/>
    <w:rsid w:val="006624D0"/>
    <w:rsid w:val="00664493"/>
    <w:rsid w:val="00680867"/>
    <w:rsid w:val="006A583B"/>
    <w:rsid w:val="006A7E43"/>
    <w:rsid w:val="006C5A24"/>
    <w:rsid w:val="006F1DC9"/>
    <w:rsid w:val="00743113"/>
    <w:rsid w:val="0075706C"/>
    <w:rsid w:val="00783B8E"/>
    <w:rsid w:val="00783D10"/>
    <w:rsid w:val="007B2F83"/>
    <w:rsid w:val="007D3D4F"/>
    <w:rsid w:val="007E0320"/>
    <w:rsid w:val="007E4113"/>
    <w:rsid w:val="00822B1E"/>
    <w:rsid w:val="00860128"/>
    <w:rsid w:val="00882F9C"/>
    <w:rsid w:val="00890400"/>
    <w:rsid w:val="00893E66"/>
    <w:rsid w:val="008C6092"/>
    <w:rsid w:val="008F7306"/>
    <w:rsid w:val="0090379D"/>
    <w:rsid w:val="00906B08"/>
    <w:rsid w:val="009856D3"/>
    <w:rsid w:val="00997979"/>
    <w:rsid w:val="009C133B"/>
    <w:rsid w:val="009C50AC"/>
    <w:rsid w:val="009D25D8"/>
    <w:rsid w:val="009D25DB"/>
    <w:rsid w:val="009D64AA"/>
    <w:rsid w:val="00A008B5"/>
    <w:rsid w:val="00A3152F"/>
    <w:rsid w:val="00AB1545"/>
    <w:rsid w:val="00AB7372"/>
    <w:rsid w:val="00AD63B9"/>
    <w:rsid w:val="00B449EE"/>
    <w:rsid w:val="00B51A42"/>
    <w:rsid w:val="00B82816"/>
    <w:rsid w:val="00B83ACC"/>
    <w:rsid w:val="00B90E57"/>
    <w:rsid w:val="00B915B6"/>
    <w:rsid w:val="00BA0DAD"/>
    <w:rsid w:val="00BD08FB"/>
    <w:rsid w:val="00BD1A24"/>
    <w:rsid w:val="00BD4D31"/>
    <w:rsid w:val="00BD6CD2"/>
    <w:rsid w:val="00BE2548"/>
    <w:rsid w:val="00C27679"/>
    <w:rsid w:val="00CB1B6C"/>
    <w:rsid w:val="00CD0E8E"/>
    <w:rsid w:val="00D34DC5"/>
    <w:rsid w:val="00D66B0A"/>
    <w:rsid w:val="00DD66AA"/>
    <w:rsid w:val="00DE673B"/>
    <w:rsid w:val="00E04DEE"/>
    <w:rsid w:val="00E142F0"/>
    <w:rsid w:val="00E326A0"/>
    <w:rsid w:val="00E430F9"/>
    <w:rsid w:val="00E7725A"/>
    <w:rsid w:val="00E9183C"/>
    <w:rsid w:val="00EF12FB"/>
    <w:rsid w:val="00EF4514"/>
    <w:rsid w:val="00F14070"/>
    <w:rsid w:val="00F661D3"/>
    <w:rsid w:val="00F93C5D"/>
    <w:rsid w:val="00F96F2F"/>
    <w:rsid w:val="00FF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34800"/>
  <w15:chartTrackingRefBased/>
  <w15:docId w15:val="{CC3C7C1F-3840-4AC7-B916-148B3FD7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7E68"/>
    <w:pPr>
      <w:spacing w:before="100" w:beforeAutospacing="1" w:after="100" w:afterAutospacing="1"/>
    </w:pPr>
    <w:rPr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51A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1A42"/>
    <w:pPr>
      <w:widowControl w:val="0"/>
      <w:autoSpaceDE w:val="0"/>
      <w:autoSpaceDN w:val="0"/>
      <w:spacing w:before="4"/>
      <w:ind w:left="752"/>
    </w:pPr>
    <w:rPr>
      <w:rFonts w:ascii="Book Antiqua" w:eastAsia="Book Antiqua" w:hAnsi="Book Antiqua" w:cs="Book Antiqua"/>
      <w:sz w:val="22"/>
      <w:szCs w:val="22"/>
      <w:lang w:val="en-US" w:bidi="en-US"/>
    </w:rPr>
  </w:style>
  <w:style w:type="table" w:styleId="a4">
    <w:name w:val="Table Grid"/>
    <w:basedOn w:val="a1"/>
    <w:uiPriority w:val="39"/>
    <w:rsid w:val="00177EC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0"/>
    <w:rsid w:val="009856D3"/>
  </w:style>
  <w:style w:type="paragraph" w:styleId="a5">
    <w:name w:val="header"/>
    <w:basedOn w:val="a"/>
    <w:link w:val="a6"/>
    <w:uiPriority w:val="99"/>
    <w:unhideWhenUsed/>
    <w:rsid w:val="001106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1066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1106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1066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4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1FBED-E2F8-4BF6-BF96-12529D65E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</cp:lastModifiedBy>
  <cp:revision>4</cp:revision>
  <cp:lastPrinted>2019-08-14T05:22:00Z</cp:lastPrinted>
  <dcterms:created xsi:type="dcterms:W3CDTF">2019-08-21T18:18:00Z</dcterms:created>
  <dcterms:modified xsi:type="dcterms:W3CDTF">2019-08-21T18:47:00Z</dcterms:modified>
</cp:coreProperties>
</file>