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A8496" w14:textId="504ADB4D" w:rsidR="00A1363C" w:rsidRPr="00A1363C" w:rsidRDefault="00502DBE" w:rsidP="00502DBE">
      <w:pPr>
        <w:pStyle w:val="a4"/>
        <w:spacing w:before="0" w:beforeAutospacing="0" w:after="0" w:afterAutospacing="0"/>
        <w:jc w:val="right"/>
        <w:rPr>
          <w:lang w:val="en-US"/>
        </w:rPr>
      </w:pPr>
      <w:r>
        <w:rPr>
          <w:rFonts w:cstheme="minorBidi"/>
          <w:i/>
          <w:iCs/>
          <w:noProof/>
          <w:color w:val="000000" w:themeColor="text1"/>
          <w:kern w:val="24"/>
          <w:lang w:val="en-US"/>
        </w:rPr>
        <w:drawing>
          <wp:anchor distT="0" distB="0" distL="114300" distR="114300" simplePos="0" relativeHeight="251659264" behindDoc="0" locked="0" layoutInCell="1" allowOverlap="1" wp14:anchorId="5DABAAC5" wp14:editId="148F473D">
            <wp:simplePos x="0" y="0"/>
            <wp:positionH relativeFrom="margin">
              <wp:posOffset>-15240</wp:posOffset>
            </wp:positionH>
            <wp:positionV relativeFrom="paragraph">
              <wp:posOffset>0</wp:posOffset>
            </wp:positionV>
            <wp:extent cx="1684020" cy="1684020"/>
            <wp:effectExtent l="0" t="0" r="0" b="0"/>
            <wp:wrapThrough wrapText="bothSides">
              <wp:wrapPolygon edited="0">
                <wp:start x="0" y="0"/>
                <wp:lineTo x="0" y="21258"/>
                <wp:lineTo x="21258" y="21258"/>
                <wp:lineTo x="2125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63C">
        <w:rPr>
          <w:rFonts w:cstheme="minorBidi"/>
          <w:i/>
          <w:iCs/>
          <w:color w:val="000000" w:themeColor="text1"/>
          <w:kern w:val="24"/>
          <w:lang w:val="en-US"/>
        </w:rPr>
        <w:t>Annex</w:t>
      </w:r>
    </w:p>
    <w:p w14:paraId="253D1395" w14:textId="50CC7FAC" w:rsidR="00A1363C" w:rsidRPr="00A1363C" w:rsidRDefault="00A1363C" w:rsidP="00502DBE">
      <w:pPr>
        <w:pStyle w:val="a4"/>
        <w:spacing w:before="0" w:beforeAutospacing="0" w:after="0" w:afterAutospacing="0" w:line="41" w:lineRule="exact"/>
        <w:jc w:val="right"/>
        <w:rPr>
          <w:lang w:val="en-US"/>
        </w:rPr>
      </w:pPr>
      <w:r>
        <w:rPr>
          <w:rFonts w:cstheme="minorBidi"/>
          <w:color w:val="000000" w:themeColor="text1"/>
          <w:kern w:val="24"/>
          <w:lang w:val="en-US"/>
        </w:rPr>
        <w:t> </w:t>
      </w:r>
    </w:p>
    <w:p w14:paraId="33251199" w14:textId="1B2C218A" w:rsidR="00A1363C" w:rsidRPr="00A1363C" w:rsidRDefault="00A1363C" w:rsidP="00502DBE">
      <w:pPr>
        <w:pStyle w:val="a4"/>
        <w:spacing w:before="0" w:beforeAutospacing="0" w:after="0" w:afterAutospacing="0"/>
        <w:jc w:val="right"/>
        <w:rPr>
          <w:lang w:val="en-US"/>
        </w:rPr>
      </w:pP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to the Resolution № IOFS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/</w:t>
      </w: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GA/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1-</w:t>
      </w: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5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-</w:t>
      </w: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201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9</w:t>
      </w:r>
    </w:p>
    <w:p w14:paraId="3020E596" w14:textId="77777777" w:rsidR="00A1363C" w:rsidRPr="00A1363C" w:rsidRDefault="00A1363C" w:rsidP="00502DBE">
      <w:pPr>
        <w:pStyle w:val="a4"/>
        <w:spacing w:before="0" w:beforeAutospacing="0" w:after="0" w:afterAutospacing="0" w:line="41" w:lineRule="exact"/>
        <w:jc w:val="right"/>
        <w:rPr>
          <w:lang w:val="en-US"/>
        </w:rPr>
      </w:pPr>
      <w:r w:rsidRPr="00A1363C">
        <w:rPr>
          <w:rFonts w:cstheme="minorBidi"/>
          <w:color w:val="000000" w:themeColor="text1"/>
          <w:kern w:val="24"/>
          <w:lang w:val="en-US"/>
        </w:rPr>
        <w:t> </w:t>
      </w:r>
    </w:p>
    <w:p w14:paraId="22464B52" w14:textId="6C89EA4F" w:rsidR="00A1363C" w:rsidRPr="00A1363C" w:rsidRDefault="00A1363C" w:rsidP="00502DBE">
      <w:pPr>
        <w:pStyle w:val="a4"/>
        <w:spacing w:before="0" w:beforeAutospacing="0" w:after="0" w:afterAutospacing="0"/>
        <w:jc w:val="right"/>
        <w:rPr>
          <w:lang w:val="en-US"/>
        </w:rPr>
      </w:pP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on</w:t>
      </w:r>
      <w:r w:rsidRPr="00A1363C">
        <w:rPr>
          <w:rFonts w:cstheme="minorBidi"/>
          <w:color w:val="000000" w:themeColor="text1"/>
          <w:kern w:val="24"/>
          <w:lang w:val="en-US"/>
        </w:rPr>
        <w:t xml:space="preserve"> </w:t>
      </w:r>
      <w:r w:rsidRPr="00A1363C">
        <w:rPr>
          <w:rFonts w:cstheme="minorBidi"/>
          <w:i/>
          <w:iCs/>
          <w:color w:val="000000" w:themeColor="text1"/>
          <w:kern w:val="24"/>
          <w:lang w:val="en-US"/>
        </w:rPr>
        <w:t>appointment</w:t>
      </w:r>
      <w:r w:rsidRPr="00A1363C">
        <w:rPr>
          <w:rFonts w:eastAsiaTheme="minorEastAsia" w:cstheme="minorBidi"/>
          <w:i/>
          <w:iCs/>
          <w:color w:val="000000" w:themeColor="text1"/>
          <w:kern w:val="24"/>
          <w:lang w:val="en-US"/>
        </w:rPr>
        <w:t xml:space="preserve"> of Director General of the IOFS </w:t>
      </w:r>
    </w:p>
    <w:p w14:paraId="31B40F3F" w14:textId="38CA3C19" w:rsidR="00011BB0" w:rsidRPr="00872720" w:rsidRDefault="00011BB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14:paraId="4D095620" w14:textId="5CFC37B7" w:rsidR="00872720" w:rsidRPr="00872720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14:paraId="183470C9" w14:textId="04C6EF68" w:rsidR="00872720" w:rsidRPr="00872720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14:paraId="2092E753" w14:textId="7D4DCA12" w:rsidR="00872720" w:rsidRPr="00872720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14:paraId="0F8EC5D6" w14:textId="2BB6341C" w:rsidR="00872720" w:rsidRPr="00872720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14:paraId="3970F065" w14:textId="5EDB2B17" w:rsidR="00872720" w:rsidRPr="00872720" w:rsidRDefault="00D2768F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656EDF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E1782F9" wp14:editId="5259E972">
            <wp:simplePos x="0" y="0"/>
            <wp:positionH relativeFrom="margin">
              <wp:posOffset>-156210</wp:posOffset>
            </wp:positionH>
            <wp:positionV relativeFrom="paragraph">
              <wp:posOffset>12065</wp:posOffset>
            </wp:positionV>
            <wp:extent cx="2057400" cy="229997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37" t="-521" r="20996"/>
                    <a:stretch/>
                  </pic:blipFill>
                  <pic:spPr bwMode="auto">
                    <a:xfrm>
                      <a:off x="0" y="0"/>
                      <a:ext cx="205740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79301D" w14:textId="300CD432" w:rsidR="00872720" w:rsidRPr="00872720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14:paraId="70D4D59B" w14:textId="3A621778" w:rsidR="00872720" w:rsidRPr="00656EDF" w:rsidRDefault="007C1CE3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proofErr w:type="spellStart"/>
      <w:r w:rsidRPr="00656ED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Yerlan</w:t>
      </w:r>
      <w:proofErr w:type="spellEnd"/>
      <w:r w:rsidRPr="00656ED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 xml:space="preserve"> A. </w:t>
      </w:r>
      <w:proofErr w:type="spellStart"/>
      <w:r w:rsidRPr="00656ED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Baidaulet</w:t>
      </w:r>
      <w:proofErr w:type="spellEnd"/>
    </w:p>
    <w:p w14:paraId="30138EA0" w14:textId="4ABFE6F2" w:rsidR="00872720" w:rsidRPr="007C1CE3" w:rsidRDefault="00872720" w:rsidP="00872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 xml:space="preserve">Date of birth: </w:t>
      </w: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7 August 1970</w:t>
      </w:r>
    </w:p>
    <w:p w14:paraId="79535894" w14:textId="5005ED78" w:rsidR="00872720" w:rsidRPr="007C1CE3" w:rsidRDefault="00872720" w:rsidP="00872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 xml:space="preserve">Nationality: </w:t>
      </w: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Kazakhstan</w:t>
      </w:r>
    </w:p>
    <w:p w14:paraId="0D7A1869" w14:textId="7F09F79C" w:rsidR="00872720" w:rsidRPr="007C1CE3" w:rsidRDefault="00872720" w:rsidP="00872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 xml:space="preserve">Marital status: </w:t>
      </w: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married, 2 sons</w:t>
      </w:r>
    </w:p>
    <w:p w14:paraId="66182C9B" w14:textId="1911080B" w:rsidR="00011BB0" w:rsidRPr="00872720" w:rsidRDefault="00872720" w:rsidP="00D276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br w:type="textWrapping" w:clear="all"/>
      </w:r>
      <w:bookmarkStart w:id="0" w:name="_GoBack"/>
      <w:bookmarkEnd w:id="0"/>
    </w:p>
    <w:p w14:paraId="1D58157D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 </w:t>
      </w:r>
    </w:p>
    <w:p w14:paraId="573D197A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Education:</w:t>
      </w:r>
    </w:p>
    <w:p w14:paraId="5E073895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1987-1992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– BCs in History and Political Economy (Diploma with Honors), Al-</w:t>
      </w:r>
    </w:p>
    <w:p w14:paraId="56128F1C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Farabi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Kazakhstan National University, Almaty, Kazakhstan</w:t>
      </w:r>
    </w:p>
    <w:p w14:paraId="2108FCFD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1992-1993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– PhD study (postgraduate study) at the Economic Institute of the</w:t>
      </w:r>
    </w:p>
    <w:p w14:paraId="70DE4B40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Academy of Sciences of Kazakhstan (08.00.01 – Political Economy)</w:t>
      </w:r>
    </w:p>
    <w:p w14:paraId="1AF9D22F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1993-1994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– Postgraduate program MAPOW,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St.Gallen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University (Certificate</w:t>
      </w:r>
    </w:p>
    <w:p w14:paraId="7D011955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with the internship in Credit Suisse), Switzerland.</w:t>
      </w:r>
    </w:p>
    <w:p w14:paraId="2E35BDED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1995-1997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– MBA in Banking &amp; Finance, University KIMEP, Almaty.</w:t>
      </w:r>
    </w:p>
    <w:p w14:paraId="5EC4043D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 </w:t>
      </w:r>
    </w:p>
    <w:p w14:paraId="20E37B84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Work experience:</w:t>
      </w:r>
    </w:p>
    <w:p w14:paraId="52064B3F" w14:textId="77777777" w:rsidR="00A36559" w:rsidRPr="00872720" w:rsidRDefault="00A36559" w:rsidP="00872720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1993-1994 – Administration of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Talgar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town (Almaty), Assistant to the Governor.</w:t>
      </w:r>
    </w:p>
    <w:p w14:paraId="06AD3890" w14:textId="1F64C160" w:rsidR="00A36559" w:rsidRPr="00872720" w:rsidRDefault="00A36559" w:rsidP="00BB48AD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1994-2000 – Consultancy/management positions at local private companies (JSC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Alemsystem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, JSC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EximBank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, Swiss-Kazakhstan Economic Development Center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Ltd., IMPEX International,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ProfitInvest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Ltd.)</w:t>
      </w:r>
    </w:p>
    <w:p w14:paraId="3E5FB01F" w14:textId="77777777" w:rsidR="00A36559" w:rsidRPr="00872720" w:rsidRDefault="00A36559" w:rsidP="00872720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2001-2005 – IDB Group, Field Representative in Kazakhstan.</w:t>
      </w:r>
    </w:p>
    <w:p w14:paraId="798D50A3" w14:textId="58653CC7" w:rsidR="00A36559" w:rsidRPr="00872720" w:rsidRDefault="00A36559" w:rsidP="00B31C8E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2005-2006 – JSC State Company Engineering and Technology Transfer Center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(ETTC), President.</w:t>
      </w:r>
    </w:p>
    <w:p w14:paraId="78EA4EFF" w14:textId="266A8742" w:rsidR="00A36559" w:rsidRPr="00872720" w:rsidRDefault="00A36559" w:rsidP="004B5F9B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2006-2010 – Eurasian Development Bank, the Head of Representative Office in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Astana.</w:t>
      </w:r>
    </w:p>
    <w:p w14:paraId="41872152" w14:textId="370E1C77" w:rsidR="00A36559" w:rsidRPr="00872720" w:rsidRDefault="00A36559" w:rsidP="00AA3DF9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lastRenderedPageBreak/>
        <w:t>2010-2019 – Ministry of Investments and Development of Kazakhstan, Adviser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(out of staff) to the Minister (in charge of cooperation with OIC MCs), duties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included: JSC KAZNEX INVEST (2010-2016) (Managing Director, Special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Representative on Cooperation with IDB), IDB Executive Director in charge of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7 IDB member countries (2011-2014), Acting IDB Governor (for 39th and 41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vertAlign w:val="superscript"/>
          <w:lang w:val="en-US" w:eastAsia="ru-RU"/>
        </w:rPr>
        <w:t>st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IDB Annual Meetings (Mozambique/Indonesia), Ministerial Special Envoy for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Industrial Goods Exports to OIC MCs, JSC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KazGeology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, Advisor.</w:t>
      </w:r>
    </w:p>
    <w:p w14:paraId="02594466" w14:textId="18812FF9" w:rsidR="00A36559" w:rsidRPr="00872720" w:rsidRDefault="00A36559" w:rsidP="00A271ED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November 2018 – April 2019 – The Experts Council by the Security Council of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Kazakhstan, the Senior Expert on Food Security.</w:t>
      </w:r>
    </w:p>
    <w:p w14:paraId="17C75A08" w14:textId="5A71B0B2" w:rsidR="00A36559" w:rsidRPr="00872720" w:rsidRDefault="00A36559" w:rsidP="001523B6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May 2019- currently- Acting Director General, Islamic Organization for Food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Security by OIC, Headquarters in Nur-Sultan city, Kazakhstan.</w:t>
      </w:r>
    </w:p>
    <w:p w14:paraId="7EA854BE" w14:textId="6DB3DB2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 </w:t>
      </w:r>
      <w:r w:rsidRPr="0087272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Publications/Textbooks:</w:t>
      </w:r>
    </w:p>
    <w:p w14:paraId="0A992576" w14:textId="4A144E39" w:rsidR="00A36559" w:rsidRPr="00872720" w:rsidRDefault="00A36559" w:rsidP="00E15CDA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Articles on Islamic Finance (Business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Islamica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(No.7, 2010), Global IF Report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2011 (UK), Willey’s World Islamic Finance Handbook 2014 (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RedMoney</w:t>
      </w:r>
      <w:proofErr w:type="spellEnd"/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Group, KL), interviews for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ThompsonReutors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, Bloomberg and Kazakh mass-media.</w:t>
      </w:r>
    </w:p>
    <w:p w14:paraId="3CFE1EDF" w14:textId="13A5B23B" w:rsidR="00A36559" w:rsidRPr="00872720" w:rsidRDefault="00A36559" w:rsidP="00BF63B7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Own books: 2010 («Basics of the Islamic (Ethical) finance» (published in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Russian, Kazakh and Uzbek), 2016 (“Islamic Finance: theory, practice,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regulatory issues”).</w:t>
      </w:r>
    </w:p>
    <w:p w14:paraId="7BF33171" w14:textId="77777777" w:rsidR="00A36559" w:rsidRPr="00656EDF" w:rsidRDefault="00A36559" w:rsidP="00656ED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r w:rsidRPr="00656ED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Public activities/awards:</w:t>
      </w:r>
    </w:p>
    <w:p w14:paraId="3BBCB37D" w14:textId="37FE1268" w:rsidR="00A36559" w:rsidRPr="00872720" w:rsidRDefault="00A36559" w:rsidP="00872720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Chairman of the Association for Islamic Finance Development (2010-2015)</w:t>
      </w:r>
    </w:p>
    <w:p w14:paraId="6756B371" w14:textId="60573646" w:rsidR="00A36559" w:rsidRPr="00872720" w:rsidRDefault="00A36559" w:rsidP="00330E37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Head of the Organizing Committee </w:t>
      </w:r>
      <w:r w:rsidR="00656EDF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on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the Kazakh</w:t>
      </w:r>
      <w:r w:rsidR="00CB7A3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stan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Islamic Finance Conference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(2010-2014).</w:t>
      </w:r>
    </w:p>
    <w:p w14:paraId="14DE5900" w14:textId="042C534E" w:rsidR="00A36559" w:rsidRPr="00872720" w:rsidRDefault="00A36559" w:rsidP="001A72A9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Co-chair of the </w:t>
      </w:r>
      <w:proofErr w:type="spellStart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Interministerial</w:t>
      </w:r>
      <w:proofErr w:type="spellEnd"/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Task Force on Drafting and Implementing of</w:t>
      </w:r>
      <w:r w:rsidR="00872720"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Road Map on Islamic Finance Development till 2020 (2011-2017).</w:t>
      </w:r>
    </w:p>
    <w:p w14:paraId="3003260C" w14:textId="75021426" w:rsidR="00A36559" w:rsidRPr="007C1CE3" w:rsidRDefault="00A36559" w:rsidP="00A20DD8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Advisor on Islamic Finance to the President, International Association of</w:t>
      </w:r>
      <w:r w:rsidR="007C1CE3"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Islamic Business IAIB (Moscow (2018-2019)/Chairman of the Board, IAIB-Kazakhstan (2018-2019).</w:t>
      </w:r>
    </w:p>
    <w:p w14:paraId="004C13CB" w14:textId="1B8B7714" w:rsidR="00A36559" w:rsidRPr="007C1CE3" w:rsidRDefault="00A36559" w:rsidP="00171C25">
      <w:pPr>
        <w:pStyle w:val="a3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Global Islamic Finance Special Prize 2015 (Leadership Role) for the</w:t>
      </w:r>
      <w:r w:rsidR="007C1CE3"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contribution into development of global Islamic Finance industry (awarded in</w:t>
      </w:r>
      <w:r w:rsidR="007C1CE3"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Bahrain by GIFA UK Committee)</w:t>
      </w:r>
      <w:r w:rsidR="007C1CE3"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7C1CE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(https://en.wikipedia.org/wiki/Global_Islamic_Finance_Awards).</w:t>
      </w:r>
    </w:p>
    <w:p w14:paraId="019FF179" w14:textId="77777777" w:rsidR="00A36559" w:rsidRPr="00872720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87272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 </w:t>
      </w:r>
    </w:p>
    <w:p w14:paraId="6FFF4E33" w14:textId="5F5E5B7D" w:rsidR="00A36559" w:rsidRPr="00656EDF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656ED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Languages:</w:t>
      </w:r>
      <w:r w:rsidRPr="00656EDF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="00656EDF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Kazakh, Russian, </w:t>
      </w:r>
      <w:r w:rsidRPr="00656EDF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English, German</w:t>
      </w:r>
    </w:p>
    <w:p w14:paraId="3067FF4A" w14:textId="77777777" w:rsidR="00A97089" w:rsidRPr="00656EDF" w:rsidRDefault="00A9708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A97089" w:rsidRPr="00656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AE4942"/>
    <w:multiLevelType w:val="hybridMultilevel"/>
    <w:tmpl w:val="58E6E8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59"/>
    <w:rsid w:val="00011BB0"/>
    <w:rsid w:val="00502DBE"/>
    <w:rsid w:val="00656EDF"/>
    <w:rsid w:val="007C1CE3"/>
    <w:rsid w:val="00872720"/>
    <w:rsid w:val="00A1363C"/>
    <w:rsid w:val="00A36559"/>
    <w:rsid w:val="00A97089"/>
    <w:rsid w:val="00C64F04"/>
    <w:rsid w:val="00CB7A31"/>
    <w:rsid w:val="00D2768F"/>
    <w:rsid w:val="00EA1107"/>
    <w:rsid w:val="00EF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5A03"/>
  <w15:chartTrackingRefBased/>
  <w15:docId w15:val="{F8A360D1-1026-4CE5-8DFB-F4652CAF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7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 ww</dc:creator>
  <cp:keywords/>
  <dc:description/>
  <cp:lastModifiedBy>wwww www</cp:lastModifiedBy>
  <cp:revision>13</cp:revision>
  <dcterms:created xsi:type="dcterms:W3CDTF">2019-08-01T12:21:00Z</dcterms:created>
  <dcterms:modified xsi:type="dcterms:W3CDTF">2019-08-15T10:28:00Z</dcterms:modified>
</cp:coreProperties>
</file>