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heme="majorHAnsi" w:eastAsiaTheme="majorEastAsia" w:hAnsiTheme="majorHAnsi" w:cstheme="majorBidi"/>
          <w:sz w:val="72"/>
          <w:szCs w:val="72"/>
          <w:lang w:val="en-US"/>
        </w:rPr>
        <w:id w:val="-285194437"/>
        <w:docPartObj>
          <w:docPartGallery w:val="Cover Pages"/>
          <w:docPartUnique/>
        </w:docPartObj>
      </w:sdtPr>
      <w:sdtEndPr>
        <w:rPr>
          <w:rFonts w:ascii="Times New Roman" w:eastAsia="Times New Roman" w:hAnsi="Times New Roman" w:cs="Times New Roman"/>
          <w:sz w:val="24"/>
          <w:szCs w:val="24"/>
        </w:rPr>
      </w:sdtEndPr>
      <w:sdtContent>
        <w:p w:rsidR="00F0243B" w:rsidRPr="0070398F" w:rsidRDefault="00F0243B">
          <w:pPr>
            <w:pStyle w:val="a3"/>
            <w:rPr>
              <w:rFonts w:asciiTheme="majorHAnsi" w:eastAsiaTheme="majorEastAsia" w:hAnsiTheme="majorHAnsi" w:cstheme="majorBidi"/>
              <w:sz w:val="72"/>
              <w:szCs w:val="72"/>
              <w:lang w:val="en-US"/>
            </w:rPr>
          </w:pPr>
          <w:r w:rsidRPr="0070398F">
            <w:rPr>
              <w:noProof/>
              <w:lang w:val="en-US" w:eastAsia="ru-RU"/>
            </w:rPr>
            <mc:AlternateContent>
              <mc:Choice Requires="wps">
                <w:drawing>
                  <wp:anchor distT="0" distB="0" distL="114300" distR="114300" simplePos="0" relativeHeight="251659264" behindDoc="0" locked="0" layoutInCell="0" allowOverlap="1" wp14:anchorId="1D750236" wp14:editId="2CE2A490">
                    <wp:simplePos x="0" y="0"/>
                    <wp:positionH relativeFrom="page">
                      <wp:align>center</wp:align>
                    </wp:positionH>
                    <wp:positionV relativeFrom="page">
                      <wp:align>bottom</wp:align>
                    </wp:positionV>
                    <wp:extent cx="8161020" cy="817880"/>
                    <wp:effectExtent l="0" t="0" r="0" b="5080"/>
                    <wp:wrapNone/>
                    <wp:docPr id="7"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18C15FC5" id="Прямоугольник 2" o:spid="_x0000_s1026" style="position:absolute;margin-left:0;margin-top:0;width:642.6pt;height:64.4pt;z-index:25165926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" o:allowincell="f" fillcolor="#4bacc6 [3208]" strokecolor="#4f81bd [3204]">
                    <w10:wrap anchorx="page" anchory="page"/>
                  </v:rect>
                </w:pict>
              </mc:Fallback>
            </mc:AlternateContent>
          </w:r>
          <w:r w:rsidRPr="0070398F">
            <w:rPr>
              <w:noProof/>
              <w:lang w:val="en-US" w:eastAsia="ru-RU"/>
            </w:rPr>
            <mc:AlternateContent>
              <mc:Choice Requires="wps">
                <w:drawing>
                  <wp:anchor distT="0" distB="0" distL="114300" distR="114300" simplePos="0" relativeHeight="251662336" behindDoc="0" locked="0" layoutInCell="0" allowOverlap="1" wp14:anchorId="0DD00514" wp14:editId="005F7ECD">
                    <wp:simplePos x="0" y="0"/>
                    <wp:positionH relativeFrom="leftMargin">
                      <wp:align>center</wp:align>
                    </wp:positionH>
                    <wp:positionV relativeFrom="page">
                      <wp:align>center</wp:align>
                    </wp:positionV>
                    <wp:extent cx="90805" cy="10556240"/>
                    <wp:effectExtent l="0" t="0" r="4445" b="5080"/>
                    <wp:wrapNone/>
                    <wp:docPr id="8"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4DFFC3A5" id="Прямоугольник 5" o:spid="_x0000_s1026" style="position:absolute;margin-left:0;margin-top:0;width:7.15pt;height:831.2pt;z-index:25166233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" o:allowincell="f" strokecolor="#4f81bd [3204]">
                    <w10:wrap anchorx="margin" anchory="page"/>
                  </v:rect>
                </w:pict>
              </mc:Fallback>
            </mc:AlternateContent>
          </w:r>
          <w:r w:rsidRPr="0070398F">
            <w:rPr>
              <w:noProof/>
              <w:lang w:val="en-US" w:eastAsia="ru-RU"/>
            </w:rPr>
            <mc:AlternateContent>
              <mc:Choice Requires="wps">
                <w:drawing>
                  <wp:anchor distT="0" distB="0" distL="114300" distR="114300" simplePos="0" relativeHeight="251661312" behindDoc="0" locked="0" layoutInCell="0" allowOverlap="1" wp14:anchorId="6A902A3A" wp14:editId="37B0F646">
                    <wp:simplePos x="0" y="0"/>
                    <wp:positionH relativeFrom="rightMargin">
                      <wp:align>center</wp:align>
                    </wp:positionH>
                    <wp:positionV relativeFrom="page">
                      <wp:align>center</wp:align>
                    </wp:positionV>
                    <wp:extent cx="90805" cy="10556240"/>
                    <wp:effectExtent l="0" t="0" r="4445" b="5080"/>
                    <wp:wrapNone/>
                    <wp:docPr id="9"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1BA7A553" id="Прямоугольник 4" o:spid="_x0000_s1026" style="position:absolute;margin-left:0;margin-top:0;width:7.15pt;height:831.2pt;z-index:251661312;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" o:allowincell="f" strokecolor="#4f81bd [3204]">
                    <w10:wrap anchorx="margin" anchory="page"/>
                  </v:rect>
                </w:pict>
              </mc:Fallback>
            </mc:AlternateContent>
          </w:r>
          <w:r w:rsidRPr="0070398F">
            <w:rPr>
              <w:noProof/>
              <w:lang w:val="en-US" w:eastAsia="ru-RU"/>
            </w:rPr>
            <mc:AlternateContent>
              <mc:Choice Requires="wps">
                <w:drawing>
                  <wp:anchor distT="0" distB="0" distL="114300" distR="114300" simplePos="0" relativeHeight="251660288" behindDoc="0" locked="0" layoutInCell="0" allowOverlap="1" wp14:anchorId="1AE49F51" wp14:editId="4FC0AFA1">
                    <wp:simplePos x="0" y="0"/>
                    <wp:positionH relativeFrom="page">
                      <wp:align>center</wp:align>
                    </wp:positionH>
                    <wp:positionV relativeFrom="topMargin">
                      <wp:align>top</wp:align>
                    </wp:positionV>
                    <wp:extent cx="8161020" cy="822960"/>
                    <wp:effectExtent l="0" t="0" r="0" b="0"/>
                    <wp:wrapNone/>
                    <wp:docPr id="10"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34F9C4AE" id="Прямоугольник 3" o:spid="_x0000_s1026" style="position:absolute;margin-left:0;margin-top:0;width:642.6pt;height:64.8pt;z-index:251660288;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" o:allowincell="f" fillcolor="#4bacc6 [3208]" strokecolor="#4f81bd [3204]">
                    <w10:wrap anchorx="page" anchory="margin"/>
                  </v:rect>
                </w:pict>
              </mc:Fallback>
            </mc:AlternateContent>
          </w:r>
          <w:sdt>
            <w:sdtPr>
              <w:rPr>
                <w:rFonts w:asciiTheme="majorHAnsi" w:eastAsiaTheme="majorEastAsia" w:hAnsiTheme="majorHAnsi" w:cstheme="majorBidi"/>
                <w:sz w:val="72"/>
                <w:szCs w:val="72"/>
                <w:lang w:val="en-US"/>
              </w:rPr>
              <w:alias w:val="Название"/>
              <w:id w:val="14700071"/>
              <w:dataBinding w:prefixMappings="xmlns:ns0='http://schemas.openxmlformats.org/package/2006/metadata/core-properties' xmlns:ns1='http://purl.org/dc/elements/1.1/'" w:xpath="/ns0:coreProperties[1]/ns1:title[1]" w:storeItemID="{6C3C8BC8-F283-45AE-878A-BAB7291924A1}"/>
              <w:text/>
            </w:sdtPr>
            <w:sdtEndPr/>
            <w:sdtContent>
              <w:r w:rsidR="00D90004" w:rsidRPr="0070398F">
                <w:rPr>
                  <w:rFonts w:asciiTheme="majorHAnsi" w:eastAsiaTheme="majorEastAsia" w:hAnsiTheme="majorHAnsi" w:cstheme="majorBidi"/>
                  <w:sz w:val="72"/>
                  <w:szCs w:val="72"/>
                  <w:lang w:val="en-US"/>
                </w:rPr>
                <w:t xml:space="preserve">Accounting </w:t>
              </w:r>
              <w:r w:rsidR="0009675A">
                <w:rPr>
                  <w:rFonts w:asciiTheme="majorHAnsi" w:eastAsiaTheme="majorEastAsia" w:hAnsiTheme="majorHAnsi" w:cstheme="majorBidi"/>
                  <w:sz w:val="72"/>
                  <w:szCs w:val="72"/>
                  <w:lang w:val="en-US"/>
                </w:rPr>
                <w:t>Regulations</w:t>
              </w:r>
            </w:sdtContent>
          </w:sdt>
        </w:p>
        <w:sdt>
          <w:sdtPr>
            <w:rPr>
              <w:rFonts w:asciiTheme="majorHAnsi" w:eastAsiaTheme="majorEastAsia" w:hAnsiTheme="majorHAnsi" w:cstheme="majorBidi"/>
              <w:b/>
              <w:sz w:val="40"/>
              <w:szCs w:val="40"/>
              <w:lang w:val="en-US"/>
            </w:rPr>
            <w:alias w:val="Подзаголовок"/>
            <w:id w:val="14700077"/>
            <w:dataBinding w:prefixMappings="xmlns:ns0='http://schemas.openxmlformats.org/package/2006/metadata/core-properties' xmlns:ns1='http://purl.org/dc/elements/1.1/'" w:xpath="/ns0:coreProperties[1]/ns1:subject[1]" w:storeItemID="{6C3C8BC8-F283-45AE-878A-BAB7291924A1}"/>
            <w:text/>
          </w:sdtPr>
          <w:sdtEndPr/>
          <w:sdtContent>
            <w:p w:rsidR="00F0243B" w:rsidRPr="0070398F" w:rsidRDefault="00B22A29">
              <w:pPr>
                <w:pStyle w:val="a3"/>
                <w:rPr>
                  <w:rFonts w:asciiTheme="majorHAnsi" w:eastAsiaTheme="majorEastAsia" w:hAnsiTheme="majorHAnsi" w:cstheme="majorBidi"/>
                  <w:b/>
                  <w:sz w:val="40"/>
                  <w:szCs w:val="40"/>
                  <w:lang w:val="en-US"/>
                </w:rPr>
              </w:pPr>
              <w:r w:rsidRPr="0070398F">
                <w:rPr>
                  <w:rFonts w:asciiTheme="majorHAnsi" w:eastAsiaTheme="majorEastAsia" w:hAnsiTheme="majorHAnsi" w:cstheme="majorBidi"/>
                  <w:b/>
                  <w:sz w:val="40"/>
                  <w:szCs w:val="40"/>
                  <w:lang w:val="en-US"/>
                </w:rPr>
                <w:t xml:space="preserve">ISLAMIC </w:t>
              </w:r>
              <w:r w:rsidR="00677085">
                <w:rPr>
                  <w:rFonts w:asciiTheme="majorHAnsi" w:eastAsiaTheme="majorEastAsia" w:hAnsiTheme="majorHAnsi" w:cstheme="majorBidi"/>
                  <w:b/>
                  <w:sz w:val="40"/>
                  <w:szCs w:val="40"/>
                  <w:lang w:val="en-US"/>
                </w:rPr>
                <w:t>ORGANIZATION</w:t>
              </w:r>
              <w:r w:rsidRPr="0070398F">
                <w:rPr>
                  <w:rFonts w:asciiTheme="majorHAnsi" w:eastAsiaTheme="majorEastAsia" w:hAnsiTheme="majorHAnsi" w:cstheme="majorBidi"/>
                  <w:b/>
                  <w:sz w:val="40"/>
                  <w:szCs w:val="40"/>
                  <w:lang w:val="en-US"/>
                </w:rPr>
                <w:t xml:space="preserve"> FOR FOOD SECURITY</w:t>
              </w:r>
            </w:p>
          </w:sdtContent>
        </w:sdt>
        <w:p w:rsidR="00F0243B" w:rsidRPr="0070398F" w:rsidRDefault="00F0243B">
          <w:pPr>
            <w:pStyle w:val="a3"/>
            <w:rPr>
              <w:rFonts w:asciiTheme="majorHAnsi" w:eastAsiaTheme="majorEastAsia" w:hAnsiTheme="majorHAnsi" w:cstheme="majorBidi"/>
              <w:sz w:val="36"/>
              <w:szCs w:val="36"/>
              <w:lang w:val="en-US"/>
            </w:rPr>
          </w:pPr>
        </w:p>
        <w:p w:rsidR="00F0243B" w:rsidRPr="0070398F" w:rsidRDefault="00F0243B">
          <w:pPr>
            <w:pStyle w:val="a3"/>
            <w:rPr>
              <w:rFonts w:asciiTheme="majorHAnsi" w:eastAsiaTheme="majorEastAsia" w:hAnsiTheme="majorHAnsi" w:cstheme="majorBidi"/>
              <w:sz w:val="36"/>
              <w:szCs w:val="36"/>
              <w:lang w:val="en-US"/>
            </w:rPr>
          </w:pPr>
        </w:p>
        <w:p w:rsidR="00326605" w:rsidRPr="0070398F" w:rsidRDefault="00D90004" w:rsidP="00F0243B">
          <w:pPr>
            <w:pStyle w:val="a3"/>
            <w:rPr>
              <w:rFonts w:ascii="Times New Roman" w:hAnsi="Times New Roman" w:cs="Times New Roman"/>
              <w:sz w:val="24"/>
              <w:szCs w:val="24"/>
              <w:lang w:val="en-US"/>
            </w:rPr>
          </w:pPr>
          <w:r w:rsidRPr="0070398F">
            <w:rPr>
              <w:rFonts w:ascii="Times New Roman" w:hAnsi="Times New Roman" w:cs="Times New Roman"/>
              <w:sz w:val="24"/>
              <w:szCs w:val="24"/>
              <w:lang w:val="en-US"/>
            </w:rPr>
            <w:t>Approved by Resolution No.</w:t>
          </w:r>
          <w:r w:rsidR="00326605" w:rsidRPr="0070398F">
            <w:rPr>
              <w:rFonts w:ascii="Times New Roman" w:hAnsi="Times New Roman" w:cs="Times New Roman"/>
              <w:sz w:val="24"/>
              <w:szCs w:val="24"/>
              <w:lang w:val="en-US"/>
            </w:rPr>
            <w:t xml:space="preserve"> ____, </w:t>
          </w:r>
        </w:p>
        <w:p w:rsidR="00326605" w:rsidRPr="0070398F" w:rsidRDefault="00D90004" w:rsidP="00F0243B">
          <w:pPr>
            <w:pStyle w:val="a3"/>
            <w:rPr>
              <w:rFonts w:ascii="Times New Roman" w:hAnsi="Times New Roman" w:cs="Times New Roman"/>
              <w:sz w:val="24"/>
              <w:szCs w:val="24"/>
              <w:lang w:val="en-US"/>
            </w:rPr>
          </w:pPr>
          <w:r w:rsidRPr="0070398F">
            <w:rPr>
              <w:rFonts w:ascii="Times New Roman" w:hAnsi="Times New Roman" w:cs="Times New Roman"/>
              <w:sz w:val="24"/>
              <w:szCs w:val="24"/>
              <w:lang w:val="en-US"/>
            </w:rPr>
            <w:t xml:space="preserve">adopted at the </w:t>
          </w:r>
          <w:r w:rsidR="00C561F9" w:rsidRPr="0070398F">
            <w:rPr>
              <w:rFonts w:ascii="Times New Roman" w:hAnsi="Times New Roman" w:cs="Times New Roman"/>
              <w:sz w:val="24"/>
              <w:szCs w:val="24"/>
              <w:lang w:val="en-US"/>
            </w:rPr>
            <w:t>__</w:t>
          </w:r>
          <w:proofErr w:type="spellStart"/>
          <w:r w:rsidRPr="0070398F">
            <w:rPr>
              <w:rFonts w:ascii="Times New Roman" w:hAnsi="Times New Roman" w:cs="Times New Roman"/>
              <w:sz w:val="24"/>
              <w:szCs w:val="24"/>
              <w:vertAlign w:val="superscript"/>
              <w:lang w:val="en-US"/>
            </w:rPr>
            <w:t>th</w:t>
          </w:r>
          <w:proofErr w:type="spellEnd"/>
          <w:r w:rsidR="00326605" w:rsidRPr="0070398F">
            <w:rPr>
              <w:rFonts w:ascii="Times New Roman" w:hAnsi="Times New Roman" w:cs="Times New Roman"/>
              <w:sz w:val="24"/>
              <w:szCs w:val="24"/>
              <w:lang w:val="en-US"/>
            </w:rPr>
            <w:t xml:space="preserve"> </w:t>
          </w:r>
          <w:r w:rsidRPr="0070398F">
            <w:rPr>
              <w:rFonts w:ascii="Times New Roman" w:hAnsi="Times New Roman" w:cs="Times New Roman"/>
              <w:sz w:val="24"/>
              <w:szCs w:val="24"/>
              <w:lang w:val="en-US"/>
            </w:rPr>
            <w:t xml:space="preserve">General Assembly Meeting of the Islamic </w:t>
          </w:r>
          <w:r w:rsidR="00677085">
            <w:rPr>
              <w:rFonts w:ascii="Times New Roman" w:hAnsi="Times New Roman" w:cs="Times New Roman"/>
              <w:sz w:val="24"/>
              <w:szCs w:val="24"/>
              <w:lang w:val="en-US"/>
            </w:rPr>
            <w:t>Organization</w:t>
          </w:r>
          <w:r w:rsidRPr="0070398F">
            <w:rPr>
              <w:rFonts w:ascii="Times New Roman" w:hAnsi="Times New Roman" w:cs="Times New Roman"/>
              <w:sz w:val="24"/>
              <w:szCs w:val="24"/>
              <w:lang w:val="en-US"/>
            </w:rPr>
            <w:t xml:space="preserve"> for Food Security </w:t>
          </w:r>
        </w:p>
        <w:p w:rsidR="00ED7CB8" w:rsidRPr="0070398F" w:rsidRDefault="00D90004" w:rsidP="00F0243B">
          <w:pPr>
            <w:pStyle w:val="a3"/>
            <w:rPr>
              <w:rFonts w:ascii="Times New Roman" w:hAnsi="Times New Roman" w:cs="Times New Roman"/>
              <w:sz w:val="24"/>
              <w:szCs w:val="24"/>
              <w:u w:val="single"/>
              <w:lang w:val="en-US"/>
            </w:rPr>
          </w:pPr>
          <w:r w:rsidRPr="0070398F">
            <w:rPr>
              <w:rFonts w:ascii="Times New Roman" w:hAnsi="Times New Roman" w:cs="Times New Roman"/>
              <w:sz w:val="24"/>
              <w:szCs w:val="24"/>
              <w:u w:val="single"/>
              <w:lang w:val="en-US"/>
            </w:rPr>
            <w:t>on</w:t>
          </w:r>
          <w:r w:rsidR="00ED7CB8" w:rsidRPr="0070398F">
            <w:rPr>
              <w:rFonts w:ascii="Times New Roman" w:hAnsi="Times New Roman" w:cs="Times New Roman"/>
              <w:sz w:val="24"/>
              <w:szCs w:val="24"/>
              <w:u w:val="single"/>
              <w:lang w:val="en-US"/>
            </w:rPr>
            <w:t xml:space="preserve"> </w:t>
          </w:r>
          <w:r w:rsidRPr="0070398F">
            <w:rPr>
              <w:rFonts w:ascii="Times New Roman" w:hAnsi="Times New Roman" w:cs="Times New Roman"/>
              <w:sz w:val="24"/>
              <w:szCs w:val="24"/>
              <w:u w:val="single"/>
              <w:lang w:val="en-US"/>
            </w:rPr>
            <w:t>August</w:t>
          </w:r>
          <w:r w:rsidR="00ED7CB8" w:rsidRPr="0070398F">
            <w:rPr>
              <w:rFonts w:ascii="Times New Roman" w:hAnsi="Times New Roman" w:cs="Times New Roman"/>
              <w:sz w:val="24"/>
              <w:szCs w:val="24"/>
              <w:u w:val="single"/>
              <w:lang w:val="en-US"/>
            </w:rPr>
            <w:t xml:space="preserve"> </w:t>
          </w:r>
          <w:r w:rsidRPr="0070398F">
            <w:rPr>
              <w:rFonts w:ascii="Times New Roman" w:hAnsi="Times New Roman" w:cs="Times New Roman"/>
              <w:sz w:val="24"/>
              <w:szCs w:val="24"/>
              <w:u w:val="single"/>
              <w:lang w:val="en-US"/>
            </w:rPr>
            <w:t xml:space="preserve">       </w:t>
          </w:r>
          <w:proofErr w:type="gramStart"/>
          <w:r w:rsidRPr="0070398F">
            <w:rPr>
              <w:rFonts w:ascii="Times New Roman" w:hAnsi="Times New Roman" w:cs="Times New Roman"/>
              <w:sz w:val="24"/>
              <w:szCs w:val="24"/>
              <w:u w:val="single"/>
              <w:lang w:val="en-US"/>
            </w:rPr>
            <w:t xml:space="preserve">  ,</w:t>
          </w:r>
          <w:proofErr w:type="gramEnd"/>
          <w:r w:rsidRPr="0070398F">
            <w:rPr>
              <w:rFonts w:ascii="Times New Roman" w:hAnsi="Times New Roman" w:cs="Times New Roman"/>
              <w:sz w:val="24"/>
              <w:szCs w:val="24"/>
              <w:u w:val="single"/>
              <w:lang w:val="en-US"/>
            </w:rPr>
            <w:t xml:space="preserve"> </w:t>
          </w:r>
          <w:r w:rsidR="00ED7CB8" w:rsidRPr="0070398F">
            <w:rPr>
              <w:rFonts w:ascii="Times New Roman" w:hAnsi="Times New Roman" w:cs="Times New Roman"/>
              <w:sz w:val="24"/>
              <w:szCs w:val="24"/>
              <w:u w:val="single"/>
              <w:lang w:val="en-US"/>
            </w:rPr>
            <w:t>2019</w:t>
          </w:r>
        </w:p>
        <w:p w:rsidR="00F0243B" w:rsidRPr="0070398F" w:rsidRDefault="00F0243B">
          <w:pPr>
            <w:rPr>
              <w:lang w:val="en-US"/>
            </w:rPr>
          </w:pPr>
        </w:p>
        <w:p w:rsidR="00F0243B" w:rsidRPr="0070398F" w:rsidRDefault="00F0243B">
          <w:pPr>
            <w:rPr>
              <w:rFonts w:asciiTheme="majorHAnsi" w:eastAsiaTheme="majorEastAsia" w:hAnsiTheme="majorHAnsi" w:cstheme="majorBidi"/>
              <w:b/>
              <w:bCs/>
              <w:color w:val="365F91" w:themeColor="accent1" w:themeShade="BF"/>
              <w:sz w:val="28"/>
              <w:szCs w:val="28"/>
              <w:lang w:val="en-US"/>
            </w:rPr>
          </w:pPr>
          <w:r w:rsidRPr="0070398F">
            <w:rPr>
              <w:lang w:val="en-US"/>
            </w:rPr>
            <w:br w:type="page"/>
          </w:r>
        </w:p>
      </w:sdtContent>
    </w:sdt>
    <w:p w:rsidR="00675959" w:rsidRPr="0070398F" w:rsidRDefault="00D90004" w:rsidP="00675959">
      <w:pPr>
        <w:pStyle w:val="1"/>
        <w:jc w:val="both"/>
        <w:rPr>
          <w:lang w:val="en-US"/>
        </w:rPr>
      </w:pPr>
      <w:r w:rsidRPr="0070398F">
        <w:rPr>
          <w:lang w:val="en-US"/>
        </w:rPr>
        <w:lastRenderedPageBreak/>
        <w:t>Order No.</w:t>
      </w:r>
    </w:p>
    <w:p w:rsidR="00675959" w:rsidRPr="0070398F" w:rsidRDefault="00675959" w:rsidP="00675959">
      <w:pPr>
        <w:spacing w:before="120" w:after="120"/>
        <w:jc w:val="both"/>
        <w:rPr>
          <w:lang w:val="en-US"/>
        </w:rPr>
      </w:pPr>
    </w:p>
    <w:p w:rsidR="00DB513A" w:rsidRPr="0070398F" w:rsidRDefault="00D90004" w:rsidP="00675959">
      <w:pPr>
        <w:spacing w:before="120" w:after="120"/>
        <w:jc w:val="both"/>
        <w:rPr>
          <w:lang w:val="en-US"/>
        </w:rPr>
      </w:pPr>
      <w:r w:rsidRPr="0070398F">
        <w:rPr>
          <w:lang w:val="en-US"/>
        </w:rPr>
        <w:t xml:space="preserve">August </w:t>
      </w:r>
      <w:r w:rsidR="00675959" w:rsidRPr="0070398F">
        <w:rPr>
          <w:lang w:val="en-US"/>
        </w:rPr>
        <w:t>____</w:t>
      </w:r>
      <w:r w:rsidRPr="0070398F">
        <w:rPr>
          <w:lang w:val="en-US"/>
        </w:rPr>
        <w:t>,</w:t>
      </w:r>
      <w:r w:rsidR="00326605" w:rsidRPr="0070398F">
        <w:rPr>
          <w:lang w:val="en-US"/>
        </w:rPr>
        <w:t xml:space="preserve"> </w:t>
      </w:r>
      <w:r w:rsidR="00675959" w:rsidRPr="0070398F">
        <w:rPr>
          <w:lang w:val="en-US"/>
        </w:rPr>
        <w:t>201</w:t>
      </w:r>
      <w:r w:rsidR="00BD4442" w:rsidRPr="0070398F">
        <w:rPr>
          <w:lang w:val="en-US"/>
        </w:rPr>
        <w:t>9</w:t>
      </w:r>
    </w:p>
    <w:p w:rsidR="00675959" w:rsidRPr="0070398F" w:rsidRDefault="00DB513A" w:rsidP="00675959">
      <w:pPr>
        <w:spacing w:before="120" w:after="120"/>
        <w:jc w:val="both"/>
        <w:rPr>
          <w:lang w:val="en-US"/>
        </w:rPr>
      </w:pPr>
      <w:r w:rsidRPr="0070398F">
        <w:rPr>
          <w:lang w:val="en-US"/>
        </w:rPr>
        <w:t>Nur-Sultan</w:t>
      </w:r>
    </w:p>
    <w:p w:rsidR="00675959" w:rsidRPr="0070398F" w:rsidRDefault="00675959" w:rsidP="00675959">
      <w:pPr>
        <w:spacing w:before="120" w:after="120"/>
        <w:jc w:val="both"/>
        <w:rPr>
          <w:lang w:val="en-US"/>
        </w:rPr>
      </w:pPr>
    </w:p>
    <w:p w:rsidR="00675959" w:rsidRPr="0070398F" w:rsidRDefault="00DB513A" w:rsidP="00675959">
      <w:pPr>
        <w:spacing w:before="120" w:after="120"/>
        <w:jc w:val="both"/>
        <w:rPr>
          <w:b/>
          <w:lang w:val="en-US"/>
        </w:rPr>
      </w:pPr>
      <w:r w:rsidRPr="0070398F">
        <w:rPr>
          <w:b/>
          <w:lang w:val="en-US"/>
        </w:rPr>
        <w:t xml:space="preserve">Concerning the Accounting </w:t>
      </w:r>
      <w:r w:rsidR="0009675A">
        <w:rPr>
          <w:b/>
          <w:lang w:val="en-US"/>
        </w:rPr>
        <w:t>Regulations</w:t>
      </w:r>
    </w:p>
    <w:p w:rsidR="00675959" w:rsidRPr="0070398F" w:rsidRDefault="00675959" w:rsidP="00675959">
      <w:pPr>
        <w:spacing w:before="120" w:after="120"/>
        <w:jc w:val="both"/>
        <w:rPr>
          <w:lang w:val="en-US"/>
        </w:rPr>
      </w:pPr>
      <w:r w:rsidRPr="0070398F">
        <w:rPr>
          <w:lang w:val="en-US"/>
        </w:rPr>
        <w:t xml:space="preserve"> </w:t>
      </w:r>
    </w:p>
    <w:p w:rsidR="0077174C" w:rsidRPr="0070398F" w:rsidRDefault="00262C0D" w:rsidP="006E10B0">
      <w:pPr>
        <w:spacing w:before="120" w:after="120"/>
        <w:jc w:val="both"/>
        <w:rPr>
          <w:lang w:val="en-US"/>
        </w:rPr>
      </w:pPr>
      <w:r w:rsidRPr="0070398F">
        <w:rPr>
          <w:lang w:val="en-US"/>
        </w:rPr>
        <w:t xml:space="preserve">For the purpose of implementation of Law </w:t>
      </w:r>
      <w:r w:rsidR="00386919" w:rsidRPr="0070398F">
        <w:rPr>
          <w:lang w:val="en-US"/>
        </w:rPr>
        <w:t>of the Republic of Kazakhstan</w:t>
      </w:r>
      <w:r w:rsidR="006E10B0" w:rsidRPr="0070398F">
        <w:rPr>
          <w:lang w:val="en-US"/>
        </w:rPr>
        <w:t xml:space="preserve"> </w:t>
      </w:r>
      <w:r w:rsidRPr="0070398F">
        <w:rPr>
          <w:lang w:val="en-US"/>
        </w:rPr>
        <w:t xml:space="preserve">No. 256-V </w:t>
      </w:r>
      <w:proofErr w:type="spellStart"/>
      <w:r w:rsidRPr="0070398F">
        <w:rPr>
          <w:lang w:val="en-US"/>
        </w:rPr>
        <w:t>ZR</w:t>
      </w:r>
      <w:proofErr w:type="spellEnd"/>
      <w:r w:rsidRPr="0070398F">
        <w:rPr>
          <w:lang w:val="en-US"/>
        </w:rPr>
        <w:t xml:space="preserve"> dated November</w:t>
      </w:r>
      <w:r w:rsidR="006E10B0" w:rsidRPr="0070398F">
        <w:rPr>
          <w:lang w:val="en-US"/>
        </w:rPr>
        <w:t xml:space="preserve"> 21</w:t>
      </w:r>
      <w:r w:rsidRPr="0070398F">
        <w:rPr>
          <w:lang w:val="en-US"/>
        </w:rPr>
        <w:t>,</w:t>
      </w:r>
      <w:r w:rsidR="006E10B0" w:rsidRPr="0070398F">
        <w:rPr>
          <w:lang w:val="en-US"/>
        </w:rPr>
        <w:t xml:space="preserve"> 2014</w:t>
      </w:r>
      <w:r w:rsidR="00754284" w:rsidRPr="0070398F">
        <w:rPr>
          <w:lang w:val="en-US"/>
        </w:rPr>
        <w:t xml:space="preserve"> </w:t>
      </w:r>
      <w:r w:rsidR="00754284" w:rsidRPr="0070398F">
        <w:rPr>
          <w:i/>
          <w:lang w:val="en-US"/>
        </w:rPr>
        <w:t>On Ratification of the Charter of the Islamic</w:t>
      </w:r>
      <w:r w:rsidR="00915F49" w:rsidRPr="0070398F">
        <w:rPr>
          <w:lang w:val="en-US"/>
        </w:rPr>
        <w:t xml:space="preserve"> </w:t>
      </w:r>
      <w:r w:rsidR="00677085">
        <w:rPr>
          <w:i/>
          <w:lang w:val="en-US"/>
        </w:rPr>
        <w:t>Organization</w:t>
      </w:r>
      <w:r w:rsidR="00754284" w:rsidRPr="0070398F">
        <w:rPr>
          <w:i/>
          <w:lang w:val="en-US"/>
        </w:rPr>
        <w:t xml:space="preserve"> for Food Security</w:t>
      </w:r>
      <w:r w:rsidR="00754284" w:rsidRPr="0070398F">
        <w:rPr>
          <w:lang w:val="en-US"/>
        </w:rPr>
        <w:t xml:space="preserve"> and</w:t>
      </w:r>
      <w:r w:rsidR="00F33981">
        <w:rPr>
          <w:lang w:val="en-US"/>
        </w:rPr>
        <w:t xml:space="preserve"> the</w:t>
      </w:r>
      <w:r w:rsidR="00754284" w:rsidRPr="0070398F">
        <w:rPr>
          <w:lang w:val="en-US"/>
        </w:rPr>
        <w:t xml:space="preserve"> Financial Rules of the </w:t>
      </w:r>
      <w:r w:rsidR="0077174C" w:rsidRPr="0070398F">
        <w:rPr>
          <w:lang w:val="en-US"/>
        </w:rPr>
        <w:t xml:space="preserve">ISLAMIC </w:t>
      </w:r>
      <w:r w:rsidR="00677085">
        <w:rPr>
          <w:lang w:val="en-US"/>
        </w:rPr>
        <w:t>ORGANIZATION</w:t>
      </w:r>
      <w:r w:rsidR="007F648B" w:rsidRPr="0070398F">
        <w:rPr>
          <w:lang w:val="en-US"/>
        </w:rPr>
        <w:t xml:space="preserve"> FOR FOOD SECURITY</w:t>
      </w:r>
      <w:r w:rsidR="00754284" w:rsidRPr="0070398F">
        <w:rPr>
          <w:lang w:val="en-US"/>
        </w:rPr>
        <w:t xml:space="preserve"> approved by Resolution No.</w:t>
      </w:r>
      <w:r w:rsidR="0077174C" w:rsidRPr="0070398F">
        <w:rPr>
          <w:lang w:val="en-US"/>
        </w:rPr>
        <w:t xml:space="preserve"> </w:t>
      </w:r>
      <w:r w:rsidR="00C561F9" w:rsidRPr="0070398F">
        <w:rPr>
          <w:lang w:val="en-US"/>
        </w:rPr>
        <w:t xml:space="preserve">GA/5-2016 </w:t>
      </w:r>
      <w:r w:rsidR="00754284" w:rsidRPr="0070398F">
        <w:rPr>
          <w:lang w:val="en-US"/>
        </w:rPr>
        <w:t>dated April</w:t>
      </w:r>
      <w:r w:rsidR="00C561F9" w:rsidRPr="0070398F">
        <w:rPr>
          <w:lang w:val="en-US"/>
        </w:rPr>
        <w:t xml:space="preserve"> 28</w:t>
      </w:r>
      <w:r w:rsidR="00754284" w:rsidRPr="0070398F">
        <w:rPr>
          <w:lang w:val="en-US"/>
        </w:rPr>
        <w:t>,</w:t>
      </w:r>
      <w:r w:rsidR="00C561F9" w:rsidRPr="0070398F">
        <w:rPr>
          <w:lang w:val="en-US"/>
        </w:rPr>
        <w:t xml:space="preserve"> 2016</w:t>
      </w:r>
      <w:r w:rsidR="00754284" w:rsidRPr="0070398F">
        <w:rPr>
          <w:lang w:val="en-US"/>
        </w:rPr>
        <w:t xml:space="preserve"> adopted at the General Assembly Meeting</w:t>
      </w:r>
      <w:r w:rsidR="0077174C" w:rsidRPr="0070398F">
        <w:rPr>
          <w:lang w:val="en-US"/>
        </w:rPr>
        <w:t xml:space="preserve"> </w:t>
      </w:r>
      <w:r w:rsidR="00C74846" w:rsidRPr="0070398F">
        <w:rPr>
          <w:lang w:val="en-US"/>
        </w:rPr>
        <w:t xml:space="preserve">of the Islamic </w:t>
      </w:r>
      <w:r w:rsidR="00677085">
        <w:rPr>
          <w:lang w:val="en-US"/>
        </w:rPr>
        <w:t>Organization</w:t>
      </w:r>
      <w:r w:rsidR="00C74846" w:rsidRPr="0070398F">
        <w:rPr>
          <w:lang w:val="en-US"/>
        </w:rPr>
        <w:t xml:space="preserve"> for Food Security</w:t>
      </w:r>
      <w:r w:rsidR="00C561F9" w:rsidRPr="0070398F">
        <w:rPr>
          <w:lang w:val="en-US"/>
        </w:rPr>
        <w:t>.</w:t>
      </w:r>
    </w:p>
    <w:p w:rsidR="00BD4442" w:rsidRPr="0070398F" w:rsidRDefault="00BD4442" w:rsidP="00675959">
      <w:pPr>
        <w:spacing w:before="120" w:after="120"/>
        <w:jc w:val="both"/>
        <w:rPr>
          <w:b/>
          <w:lang w:val="en-US"/>
        </w:rPr>
      </w:pPr>
    </w:p>
    <w:p w:rsidR="00675959" w:rsidRPr="0070398F" w:rsidRDefault="00754284" w:rsidP="00675959">
      <w:pPr>
        <w:spacing w:before="120" w:after="120"/>
        <w:jc w:val="both"/>
        <w:rPr>
          <w:b/>
          <w:lang w:val="en-US"/>
        </w:rPr>
      </w:pPr>
      <w:r w:rsidRPr="0070398F">
        <w:rPr>
          <w:b/>
          <w:lang w:val="en-US"/>
        </w:rPr>
        <w:t>I ORDER</w:t>
      </w:r>
      <w:r w:rsidR="00AE5234" w:rsidRPr="0070398F">
        <w:rPr>
          <w:b/>
          <w:lang w:val="en-US"/>
        </w:rPr>
        <w:t xml:space="preserve"> TO</w:t>
      </w:r>
      <w:r w:rsidR="00675959" w:rsidRPr="0070398F">
        <w:rPr>
          <w:b/>
          <w:lang w:val="en-US"/>
        </w:rPr>
        <w:t>:</w:t>
      </w:r>
    </w:p>
    <w:p w:rsidR="00675959" w:rsidRPr="0070398F" w:rsidRDefault="00675959" w:rsidP="00675959">
      <w:pPr>
        <w:spacing w:before="120" w:after="120"/>
        <w:jc w:val="both"/>
        <w:rPr>
          <w:lang w:val="en-US"/>
        </w:rPr>
      </w:pPr>
      <w:r w:rsidRPr="0070398F">
        <w:rPr>
          <w:lang w:val="en-US"/>
        </w:rPr>
        <w:t xml:space="preserve">1. </w:t>
      </w:r>
      <w:r w:rsidR="00AE5234" w:rsidRPr="0070398F">
        <w:rPr>
          <w:lang w:val="en-US"/>
        </w:rPr>
        <w:t>B</w:t>
      </w:r>
      <w:r w:rsidR="00754284" w:rsidRPr="0070398F">
        <w:rPr>
          <w:lang w:val="en-US"/>
        </w:rPr>
        <w:t xml:space="preserve">ring the Accounting </w:t>
      </w:r>
      <w:r w:rsidR="0009675A">
        <w:rPr>
          <w:lang w:val="en-US"/>
        </w:rPr>
        <w:t>Regulations</w:t>
      </w:r>
      <w:r w:rsidR="00754284" w:rsidRPr="0070398F">
        <w:rPr>
          <w:lang w:val="en-US"/>
        </w:rPr>
        <w:t xml:space="preserve"> of the </w:t>
      </w:r>
      <w:r w:rsidR="007F648B" w:rsidRPr="0070398F">
        <w:rPr>
          <w:lang w:val="en-US"/>
        </w:rPr>
        <w:t xml:space="preserve">ISLAMIC </w:t>
      </w:r>
      <w:r w:rsidR="00677085">
        <w:rPr>
          <w:lang w:val="en-US"/>
        </w:rPr>
        <w:t>ORGANIZATION</w:t>
      </w:r>
      <w:r w:rsidR="004A612E" w:rsidRPr="0070398F">
        <w:rPr>
          <w:lang w:val="en-US"/>
        </w:rPr>
        <w:t xml:space="preserve"> FOR FOOD SECURITY</w:t>
      </w:r>
      <w:r w:rsidR="00754284" w:rsidRPr="0070398F">
        <w:rPr>
          <w:lang w:val="en-US"/>
        </w:rPr>
        <w:t xml:space="preserve"> into force from August __, 2019 in accordance with the International Financial Reporting Standards applied by the organization in</w:t>
      </w:r>
      <w:r w:rsidR="006E2C24" w:rsidRPr="0070398F">
        <w:rPr>
          <w:lang w:val="en-US"/>
        </w:rPr>
        <w:t xml:space="preserve"> the</w:t>
      </w:r>
      <w:r w:rsidR="00754284" w:rsidRPr="0070398F">
        <w:rPr>
          <w:lang w:val="en-US"/>
        </w:rPr>
        <w:t xml:space="preserve"> preparation and presentation of financial statements</w:t>
      </w:r>
      <w:r w:rsidR="007F648B" w:rsidRPr="0070398F">
        <w:rPr>
          <w:lang w:val="en-US"/>
        </w:rPr>
        <w:t>.</w:t>
      </w:r>
    </w:p>
    <w:p w:rsidR="00675959" w:rsidRPr="0070398F" w:rsidRDefault="00675959" w:rsidP="00675959">
      <w:pPr>
        <w:spacing w:before="120" w:after="120"/>
        <w:jc w:val="both"/>
        <w:rPr>
          <w:lang w:val="en-US"/>
        </w:rPr>
      </w:pPr>
      <w:r w:rsidRPr="0070398F">
        <w:rPr>
          <w:lang w:val="en-US"/>
        </w:rPr>
        <w:t xml:space="preserve">2. </w:t>
      </w:r>
      <w:r w:rsidR="00CB1DCA">
        <w:rPr>
          <w:lang w:val="en-US"/>
        </w:rPr>
        <w:t>Communicate</w:t>
      </w:r>
      <w:r w:rsidR="00AE5234" w:rsidRPr="0070398F">
        <w:rPr>
          <w:lang w:val="en-US"/>
        </w:rPr>
        <w:t xml:space="preserve"> this Order to all managers and advisors of business units, departments and services</w:t>
      </w:r>
      <w:r w:rsidRPr="0070398F">
        <w:rPr>
          <w:lang w:val="en-US"/>
        </w:rPr>
        <w:t>.</w:t>
      </w:r>
    </w:p>
    <w:p w:rsidR="00675959" w:rsidRPr="0070398F" w:rsidRDefault="00675959" w:rsidP="00675959">
      <w:pPr>
        <w:spacing w:before="120" w:after="120"/>
        <w:jc w:val="both"/>
        <w:rPr>
          <w:lang w:val="en-US"/>
        </w:rPr>
      </w:pPr>
      <w:r w:rsidRPr="0070398F">
        <w:rPr>
          <w:lang w:val="en-US"/>
        </w:rPr>
        <w:t>3.</w:t>
      </w:r>
      <w:r w:rsidR="00AE5234" w:rsidRPr="0070398F">
        <w:rPr>
          <w:lang w:val="en-US"/>
        </w:rPr>
        <w:t xml:space="preserve"> </w:t>
      </w:r>
      <w:r w:rsidR="00A15F53">
        <w:rPr>
          <w:lang w:val="en-US"/>
        </w:rPr>
        <w:t xml:space="preserve">I undertake liability </w:t>
      </w:r>
      <w:r w:rsidR="00AE5234" w:rsidRPr="0070398F">
        <w:rPr>
          <w:lang w:val="en-US"/>
        </w:rPr>
        <w:t>for the implementation of this order</w:t>
      </w:r>
      <w:r w:rsidRPr="0070398F">
        <w:rPr>
          <w:lang w:val="en-US"/>
        </w:rPr>
        <w:t>.</w:t>
      </w:r>
    </w:p>
    <w:p w:rsidR="00675959" w:rsidRPr="0070398F" w:rsidRDefault="00675959" w:rsidP="00675959">
      <w:pPr>
        <w:spacing w:before="120" w:after="120"/>
        <w:jc w:val="both"/>
        <w:rPr>
          <w:lang w:val="en-US"/>
        </w:rPr>
      </w:pPr>
      <w:r w:rsidRPr="0070398F">
        <w:rPr>
          <w:lang w:val="en-US"/>
        </w:rPr>
        <w:t xml:space="preserve"> </w:t>
      </w:r>
    </w:p>
    <w:p w:rsidR="00675959" w:rsidRPr="0070398F" w:rsidRDefault="003544CA" w:rsidP="00675959">
      <w:pPr>
        <w:spacing w:before="120" w:after="120"/>
        <w:jc w:val="both"/>
        <w:rPr>
          <w:b/>
          <w:lang w:val="en-US"/>
        </w:rPr>
      </w:pPr>
      <w:r w:rsidRPr="0070398F">
        <w:rPr>
          <w:b/>
          <w:lang w:val="en-US"/>
        </w:rPr>
        <w:t>Director General</w:t>
      </w:r>
      <w:r w:rsidR="00675959" w:rsidRPr="0070398F">
        <w:rPr>
          <w:b/>
          <w:lang w:val="en-US"/>
        </w:rPr>
        <w:t xml:space="preserve">  </w:t>
      </w:r>
    </w:p>
    <w:p w:rsidR="00675959" w:rsidRPr="0070398F" w:rsidRDefault="00B22A29" w:rsidP="00675959">
      <w:pPr>
        <w:spacing w:before="120" w:after="120"/>
        <w:jc w:val="both"/>
        <w:rPr>
          <w:b/>
          <w:lang w:val="en-US"/>
        </w:rPr>
      </w:pPr>
      <w:r w:rsidRPr="0070398F">
        <w:rPr>
          <w:b/>
          <w:lang w:val="en-US"/>
        </w:rPr>
        <w:t xml:space="preserve">ISLAMIC </w:t>
      </w:r>
      <w:r w:rsidR="00677085">
        <w:rPr>
          <w:b/>
          <w:lang w:val="en-US"/>
        </w:rPr>
        <w:t>ORGANIZATION</w:t>
      </w:r>
      <w:r w:rsidRPr="0070398F">
        <w:rPr>
          <w:b/>
          <w:lang w:val="en-US"/>
        </w:rPr>
        <w:t xml:space="preserve"> FOR FOOD SECURITY</w:t>
      </w:r>
      <w:r w:rsidR="0010374E" w:rsidRPr="0070398F">
        <w:rPr>
          <w:b/>
          <w:lang w:val="en-US"/>
        </w:rPr>
        <w:t xml:space="preserve"> </w:t>
      </w:r>
      <w:r w:rsidR="00675959" w:rsidRPr="0070398F">
        <w:rPr>
          <w:b/>
          <w:lang w:val="en-US"/>
        </w:rPr>
        <w:t>________________</w:t>
      </w:r>
    </w:p>
    <w:p w:rsidR="00675959" w:rsidRPr="0070398F" w:rsidRDefault="00675959" w:rsidP="00675959">
      <w:pPr>
        <w:spacing w:before="120" w:after="120"/>
        <w:jc w:val="both"/>
        <w:rPr>
          <w:lang w:val="en-US"/>
        </w:rPr>
      </w:pPr>
    </w:p>
    <w:p w:rsidR="00675959" w:rsidRPr="0070398F" w:rsidRDefault="00675959" w:rsidP="00675959">
      <w:pPr>
        <w:spacing w:before="120" w:after="120"/>
        <w:jc w:val="both"/>
        <w:rPr>
          <w:lang w:val="en-US"/>
        </w:rPr>
      </w:pPr>
    </w:p>
    <w:p w:rsidR="00675959" w:rsidRPr="0070398F" w:rsidRDefault="00675959" w:rsidP="00675959">
      <w:pPr>
        <w:spacing w:before="120" w:after="120"/>
        <w:jc w:val="both"/>
        <w:rPr>
          <w:lang w:val="en-US"/>
        </w:rPr>
      </w:pPr>
    </w:p>
    <w:p w:rsidR="00675959" w:rsidRPr="0070398F" w:rsidRDefault="00675959" w:rsidP="00675959">
      <w:pPr>
        <w:spacing w:before="120" w:after="120"/>
        <w:jc w:val="both"/>
        <w:rPr>
          <w:lang w:val="en-US"/>
        </w:rPr>
      </w:pPr>
    </w:p>
    <w:p w:rsidR="00675959" w:rsidRPr="0070398F" w:rsidRDefault="00675959" w:rsidP="00675959">
      <w:pPr>
        <w:spacing w:before="120" w:after="120"/>
        <w:jc w:val="both"/>
        <w:rPr>
          <w:lang w:val="en-US"/>
        </w:rPr>
      </w:pPr>
    </w:p>
    <w:p w:rsidR="00675959" w:rsidRPr="0070398F" w:rsidRDefault="00675959" w:rsidP="00675959">
      <w:pPr>
        <w:spacing w:before="120" w:after="120"/>
        <w:jc w:val="both"/>
        <w:rPr>
          <w:lang w:val="en-US"/>
        </w:rPr>
      </w:pPr>
    </w:p>
    <w:p w:rsidR="00675959" w:rsidRPr="0070398F" w:rsidRDefault="00675959" w:rsidP="00675959">
      <w:pPr>
        <w:spacing w:before="120" w:after="120"/>
        <w:jc w:val="both"/>
        <w:rPr>
          <w:lang w:val="en-US"/>
        </w:rPr>
      </w:pPr>
    </w:p>
    <w:p w:rsidR="00675959" w:rsidRPr="0070398F" w:rsidRDefault="00675959" w:rsidP="00675959">
      <w:pPr>
        <w:spacing w:before="120" w:after="120"/>
        <w:jc w:val="both"/>
        <w:rPr>
          <w:lang w:val="en-US"/>
        </w:rPr>
      </w:pPr>
    </w:p>
    <w:p w:rsidR="00675959" w:rsidRPr="0070398F" w:rsidRDefault="00675959" w:rsidP="00675959">
      <w:pPr>
        <w:spacing w:before="120" w:after="120"/>
        <w:jc w:val="both"/>
        <w:rPr>
          <w:lang w:val="en-US"/>
        </w:rPr>
      </w:pPr>
    </w:p>
    <w:p w:rsidR="00675959" w:rsidRPr="0070398F" w:rsidRDefault="00675959" w:rsidP="00675959">
      <w:pPr>
        <w:spacing w:before="120" w:after="120"/>
        <w:jc w:val="both"/>
        <w:rPr>
          <w:lang w:val="en-US"/>
        </w:rPr>
      </w:pPr>
    </w:p>
    <w:p w:rsidR="00675959" w:rsidRPr="0070398F" w:rsidRDefault="00675959" w:rsidP="00675959">
      <w:pPr>
        <w:spacing w:before="120" w:after="120"/>
        <w:jc w:val="both"/>
        <w:rPr>
          <w:lang w:val="en-US"/>
        </w:rPr>
      </w:pPr>
    </w:p>
    <w:p w:rsidR="00675959" w:rsidRPr="0070398F" w:rsidRDefault="00675959" w:rsidP="00675959">
      <w:pPr>
        <w:spacing w:before="120" w:after="120"/>
        <w:jc w:val="both"/>
        <w:rPr>
          <w:lang w:val="en-US"/>
        </w:rPr>
      </w:pPr>
    </w:p>
    <w:p w:rsidR="00675959" w:rsidRPr="0070398F" w:rsidRDefault="00675959" w:rsidP="00675959">
      <w:pPr>
        <w:spacing w:before="120" w:after="120"/>
        <w:jc w:val="both"/>
        <w:rPr>
          <w:lang w:val="en-US"/>
        </w:rPr>
      </w:pPr>
    </w:p>
    <w:p w:rsidR="00675959" w:rsidRPr="0070398F" w:rsidRDefault="00675959" w:rsidP="00675959">
      <w:pPr>
        <w:jc w:val="both"/>
        <w:rPr>
          <w:lang w:val="en-US"/>
        </w:rPr>
      </w:pPr>
    </w:p>
    <w:p w:rsidR="004F24CC" w:rsidRPr="0070398F" w:rsidRDefault="008D699C" w:rsidP="00441573">
      <w:pPr>
        <w:pStyle w:val="1"/>
        <w:jc w:val="both"/>
        <w:rPr>
          <w:b w:val="0"/>
          <w:lang w:val="en-US"/>
        </w:rPr>
      </w:pPr>
      <w:r w:rsidRPr="0070398F">
        <w:rPr>
          <w:lang w:val="en-US"/>
        </w:rPr>
        <w:lastRenderedPageBreak/>
        <w:t xml:space="preserve">Brief Summary of the Accounting </w:t>
      </w:r>
      <w:r w:rsidR="0009675A">
        <w:rPr>
          <w:lang w:val="en-US"/>
        </w:rPr>
        <w:t>Regulations</w:t>
      </w:r>
    </w:p>
    <w:p w:rsidR="00623F67" w:rsidRPr="0070398F" w:rsidRDefault="00623F67" w:rsidP="00675959">
      <w:pPr>
        <w:jc w:val="both"/>
        <w:rPr>
          <w:b/>
          <w:lang w:val="en-US"/>
        </w:rPr>
      </w:pPr>
    </w:p>
    <w:p w:rsidR="00675959" w:rsidRPr="0070398F" w:rsidRDefault="00B92BFF" w:rsidP="004F24CC">
      <w:pPr>
        <w:pStyle w:val="1"/>
        <w:spacing w:before="240" w:after="240"/>
        <w:jc w:val="both"/>
        <w:rPr>
          <w:lang w:val="en-US"/>
        </w:rPr>
      </w:pPr>
      <w:r w:rsidRPr="0070398F">
        <w:rPr>
          <w:lang w:val="en-US"/>
        </w:rPr>
        <w:t>General</w:t>
      </w:r>
    </w:p>
    <w:p w:rsidR="00675959" w:rsidRPr="0070398F" w:rsidRDefault="00B92BFF" w:rsidP="000B0DF3">
      <w:pPr>
        <w:spacing w:before="120" w:after="120"/>
        <w:jc w:val="both"/>
        <w:rPr>
          <w:i/>
          <w:lang w:val="en-US"/>
        </w:rPr>
      </w:pPr>
      <w:r w:rsidRPr="0070398F">
        <w:rPr>
          <w:i/>
          <w:lang w:val="en-US"/>
        </w:rPr>
        <w:t xml:space="preserve">The Accounting </w:t>
      </w:r>
      <w:r w:rsidR="0009675A">
        <w:rPr>
          <w:i/>
          <w:lang w:val="en-US"/>
        </w:rPr>
        <w:t>Regulations</w:t>
      </w:r>
      <w:r w:rsidRPr="0070398F">
        <w:rPr>
          <w:i/>
          <w:lang w:val="en-US"/>
        </w:rPr>
        <w:t xml:space="preserve"> have been made based on the assumptions that</w:t>
      </w:r>
      <w:r w:rsidR="00675959" w:rsidRPr="0070398F">
        <w:rPr>
          <w:i/>
          <w:lang w:val="en-US"/>
        </w:rPr>
        <w:t>:</w:t>
      </w:r>
    </w:p>
    <w:p w:rsidR="009A2894" w:rsidRPr="0070398F" w:rsidRDefault="009A2894" w:rsidP="003821AF">
      <w:pPr>
        <w:spacing w:beforeLines="60" w:before="144" w:afterLines="60" w:after="144"/>
        <w:jc w:val="both"/>
        <w:rPr>
          <w:lang w:val="en-US"/>
        </w:rPr>
      </w:pPr>
      <w:r w:rsidRPr="0070398F">
        <w:rPr>
          <w:lang w:val="en-US"/>
        </w:rPr>
        <w:t>a</w:t>
      </w:r>
      <w:r w:rsidR="00675959" w:rsidRPr="0070398F">
        <w:rPr>
          <w:lang w:val="en-US"/>
        </w:rPr>
        <w:t xml:space="preserve">) </w:t>
      </w:r>
      <w:r w:rsidR="00B92BFF" w:rsidRPr="0070398F">
        <w:rPr>
          <w:lang w:val="en-US"/>
        </w:rPr>
        <w:t>they are the Organization’s internal regulatory document</w:t>
      </w:r>
      <w:r w:rsidRPr="0070398F">
        <w:rPr>
          <w:lang w:val="en-US"/>
        </w:rPr>
        <w:t xml:space="preserve"> determining</w:t>
      </w:r>
      <w:r w:rsidR="00B92BFF" w:rsidRPr="0070398F">
        <w:rPr>
          <w:lang w:val="en-US"/>
        </w:rPr>
        <w:t xml:space="preserve"> </w:t>
      </w:r>
      <w:r w:rsidRPr="0070398F">
        <w:rPr>
          <w:lang w:val="en-US"/>
        </w:rPr>
        <w:t xml:space="preserve">a single set of principles, rules, generally accepted conditions and practical approaches to the </w:t>
      </w:r>
      <w:r w:rsidR="006E2C24" w:rsidRPr="0070398F">
        <w:rPr>
          <w:lang w:val="en-US"/>
        </w:rPr>
        <w:t>arrangement</w:t>
      </w:r>
      <w:r w:rsidRPr="0070398F">
        <w:rPr>
          <w:lang w:val="en-US"/>
        </w:rPr>
        <w:t xml:space="preserve"> of accounting in the preparation and presentation of financial statements;</w:t>
      </w:r>
    </w:p>
    <w:p w:rsidR="00675959" w:rsidRPr="0070398F" w:rsidRDefault="009A2894" w:rsidP="003821AF">
      <w:pPr>
        <w:spacing w:beforeLines="60" w:before="144" w:afterLines="60" w:after="144"/>
        <w:jc w:val="both"/>
        <w:rPr>
          <w:lang w:val="en-US"/>
        </w:rPr>
      </w:pPr>
      <w:r w:rsidRPr="0070398F">
        <w:rPr>
          <w:lang w:val="en-US"/>
        </w:rPr>
        <w:t>b</w:t>
      </w:r>
      <w:r w:rsidR="00675959" w:rsidRPr="0070398F">
        <w:rPr>
          <w:lang w:val="en-US"/>
        </w:rPr>
        <w:t xml:space="preserve">) </w:t>
      </w:r>
      <w:r w:rsidR="00915F49" w:rsidRPr="0070398F">
        <w:rPr>
          <w:lang w:val="en-US"/>
        </w:rPr>
        <w:t>the Organization’s</w:t>
      </w:r>
      <w:r w:rsidR="006E2C24" w:rsidRPr="0070398F">
        <w:rPr>
          <w:lang w:val="en-US"/>
        </w:rPr>
        <w:t xml:space="preserve"> assets and liabilities exist separately from the assets and liabilities of the Governments of </w:t>
      </w:r>
      <w:r w:rsidR="00A15F53">
        <w:rPr>
          <w:lang w:val="en-US"/>
        </w:rPr>
        <w:t>M</w:t>
      </w:r>
      <w:r w:rsidR="006E2C24" w:rsidRPr="0070398F">
        <w:rPr>
          <w:lang w:val="en-US"/>
        </w:rPr>
        <w:t xml:space="preserve">embers </w:t>
      </w:r>
      <w:r w:rsidR="00A15F53">
        <w:rPr>
          <w:lang w:val="en-US"/>
        </w:rPr>
        <w:t>S</w:t>
      </w:r>
      <w:r w:rsidR="006E2C24" w:rsidRPr="0070398F">
        <w:rPr>
          <w:lang w:val="en-US"/>
        </w:rPr>
        <w:t>tates of</w:t>
      </w:r>
      <w:r w:rsidR="00DC2490" w:rsidRPr="0070398F">
        <w:rPr>
          <w:lang w:val="en-US"/>
        </w:rPr>
        <w:t xml:space="preserve"> </w:t>
      </w:r>
      <w:r w:rsidR="00915F49" w:rsidRPr="0070398F">
        <w:rPr>
          <w:lang w:val="en-US"/>
        </w:rPr>
        <w:t>the Organization</w:t>
      </w:r>
      <w:r w:rsidR="006E2C24" w:rsidRPr="0070398F">
        <w:rPr>
          <w:lang w:val="en-US"/>
        </w:rPr>
        <w:t xml:space="preserve"> </w:t>
      </w:r>
      <w:r w:rsidR="00EF253B" w:rsidRPr="0070398F">
        <w:rPr>
          <w:lang w:val="en-US"/>
        </w:rPr>
        <w:t xml:space="preserve">of Islamic Cooperation </w:t>
      </w:r>
      <w:r w:rsidR="006E2C24" w:rsidRPr="0070398F">
        <w:rPr>
          <w:lang w:val="en-US"/>
        </w:rPr>
        <w:t>that are the Parties to the Charter of</w:t>
      </w:r>
      <w:r w:rsidR="00DC2490" w:rsidRPr="0070398F">
        <w:rPr>
          <w:lang w:val="en-US"/>
        </w:rPr>
        <w:t xml:space="preserve"> </w:t>
      </w:r>
      <w:r w:rsidR="00915F49" w:rsidRPr="0070398F">
        <w:rPr>
          <w:lang w:val="en-US"/>
        </w:rPr>
        <w:t xml:space="preserve">the </w:t>
      </w:r>
      <w:r w:rsidR="00DC2490" w:rsidRPr="0070398F">
        <w:rPr>
          <w:lang w:val="en-US"/>
        </w:rPr>
        <w:t xml:space="preserve">Islamic </w:t>
      </w:r>
      <w:r w:rsidR="00677085">
        <w:rPr>
          <w:lang w:val="en-US"/>
        </w:rPr>
        <w:t>Organization</w:t>
      </w:r>
      <w:r w:rsidR="00DC2490" w:rsidRPr="0070398F">
        <w:rPr>
          <w:lang w:val="en-US"/>
        </w:rPr>
        <w:t xml:space="preserve"> for Food Security </w:t>
      </w:r>
      <w:r w:rsidR="00675959" w:rsidRPr="0070398F">
        <w:rPr>
          <w:lang w:val="en-US"/>
        </w:rPr>
        <w:t>(</w:t>
      </w:r>
      <w:r w:rsidR="006E2C24" w:rsidRPr="0070398F">
        <w:rPr>
          <w:lang w:val="en-US"/>
        </w:rPr>
        <w:t>economic entity assumption</w:t>
      </w:r>
      <w:r w:rsidR="00675959" w:rsidRPr="0070398F">
        <w:rPr>
          <w:lang w:val="en-US"/>
        </w:rPr>
        <w:t>);</w:t>
      </w:r>
      <w:r w:rsidR="00DC2490" w:rsidRPr="0070398F">
        <w:rPr>
          <w:lang w:val="en-US"/>
        </w:rPr>
        <w:t xml:space="preserve"> </w:t>
      </w:r>
    </w:p>
    <w:p w:rsidR="00675959" w:rsidRPr="0070398F" w:rsidRDefault="009A2894" w:rsidP="003821AF">
      <w:pPr>
        <w:spacing w:beforeLines="60" w:before="144" w:afterLines="60" w:after="144"/>
        <w:jc w:val="both"/>
        <w:rPr>
          <w:lang w:val="en-US"/>
        </w:rPr>
      </w:pPr>
      <w:r w:rsidRPr="0070398F">
        <w:rPr>
          <w:lang w:val="en-US"/>
        </w:rPr>
        <w:t>c</w:t>
      </w:r>
      <w:r w:rsidR="00675959" w:rsidRPr="0070398F">
        <w:rPr>
          <w:lang w:val="en-US"/>
        </w:rPr>
        <w:t xml:space="preserve">) </w:t>
      </w:r>
      <w:r w:rsidR="00915F49" w:rsidRPr="0070398F">
        <w:rPr>
          <w:lang w:val="en-US"/>
        </w:rPr>
        <w:t>the Organization’s</w:t>
      </w:r>
      <w:r w:rsidR="006E2C24" w:rsidRPr="0070398F">
        <w:rPr>
          <w:lang w:val="en-US"/>
        </w:rPr>
        <w:t xml:space="preserve"> economic events refer to the accounting period where they took place regardless of actual date of cash inflows or outflows related to such events</w:t>
      </w:r>
      <w:r w:rsidR="00675959" w:rsidRPr="0070398F">
        <w:rPr>
          <w:lang w:val="en-US"/>
        </w:rPr>
        <w:t xml:space="preserve"> (</w:t>
      </w:r>
      <w:r w:rsidR="00E461FA" w:rsidRPr="0070398F">
        <w:rPr>
          <w:lang w:val="en-US"/>
        </w:rPr>
        <w:t>accrual principle assumption</w:t>
      </w:r>
      <w:r w:rsidR="00675959" w:rsidRPr="0070398F">
        <w:rPr>
          <w:lang w:val="en-US"/>
        </w:rPr>
        <w:t>);</w:t>
      </w:r>
    </w:p>
    <w:p w:rsidR="00675959" w:rsidRPr="0070398F" w:rsidRDefault="009A2894" w:rsidP="003821AF">
      <w:pPr>
        <w:spacing w:beforeLines="60" w:before="144" w:afterLines="60" w:after="144"/>
        <w:jc w:val="both"/>
        <w:rPr>
          <w:lang w:val="en-US"/>
        </w:rPr>
      </w:pPr>
      <w:r w:rsidRPr="0070398F">
        <w:rPr>
          <w:lang w:val="en-US"/>
        </w:rPr>
        <w:t>d</w:t>
      </w:r>
      <w:r w:rsidR="00675959" w:rsidRPr="0070398F">
        <w:rPr>
          <w:lang w:val="en-US"/>
        </w:rPr>
        <w:t xml:space="preserve">) </w:t>
      </w:r>
      <w:r w:rsidR="00DF1CDA" w:rsidRPr="0070398F">
        <w:rPr>
          <w:lang w:val="en-US"/>
        </w:rPr>
        <w:t>the Organization</w:t>
      </w:r>
      <w:r w:rsidR="00675959" w:rsidRPr="0070398F">
        <w:rPr>
          <w:lang w:val="en-US"/>
        </w:rPr>
        <w:t xml:space="preserve"> </w:t>
      </w:r>
      <w:r w:rsidR="001B51AD" w:rsidRPr="0070398F">
        <w:rPr>
          <w:lang w:val="en-US"/>
        </w:rPr>
        <w:t>operates</w:t>
      </w:r>
      <w:r w:rsidR="00675959" w:rsidRPr="0070398F">
        <w:rPr>
          <w:lang w:val="en-US"/>
        </w:rPr>
        <w:t xml:space="preserve"> </w:t>
      </w:r>
      <w:r w:rsidR="001B51AD" w:rsidRPr="0070398F">
        <w:rPr>
          <w:lang w:val="en-US"/>
        </w:rPr>
        <w:t>and will continue as a going concern</w:t>
      </w:r>
      <w:r w:rsidR="00675959" w:rsidRPr="0070398F">
        <w:rPr>
          <w:lang w:val="en-US"/>
        </w:rPr>
        <w:t>;</w:t>
      </w:r>
      <w:r w:rsidR="006E2C24" w:rsidRPr="0070398F">
        <w:rPr>
          <w:lang w:val="en-US"/>
        </w:rPr>
        <w:t xml:space="preserve"> and</w:t>
      </w:r>
    </w:p>
    <w:p w:rsidR="00675959" w:rsidRPr="0070398F" w:rsidRDefault="009A2894" w:rsidP="003821AF">
      <w:pPr>
        <w:spacing w:beforeLines="60" w:before="144" w:afterLines="60" w:after="144"/>
        <w:jc w:val="both"/>
        <w:rPr>
          <w:lang w:val="en-US"/>
        </w:rPr>
      </w:pPr>
      <w:r w:rsidRPr="0070398F">
        <w:rPr>
          <w:lang w:val="en-US"/>
        </w:rPr>
        <w:t>e</w:t>
      </w:r>
      <w:r w:rsidR="00675959" w:rsidRPr="0070398F">
        <w:rPr>
          <w:lang w:val="en-US"/>
        </w:rPr>
        <w:t xml:space="preserve">) </w:t>
      </w:r>
      <w:r w:rsidR="001B51AD" w:rsidRPr="0070398F">
        <w:rPr>
          <w:lang w:val="en-US"/>
        </w:rPr>
        <w:t xml:space="preserve">the Accounting </w:t>
      </w:r>
      <w:bookmarkStart w:id="0" w:name="_GoBack"/>
      <w:r w:rsidR="0009675A">
        <w:rPr>
          <w:lang w:val="en-US"/>
        </w:rPr>
        <w:t>Regulations</w:t>
      </w:r>
      <w:bookmarkEnd w:id="0"/>
      <w:r w:rsidR="001B51AD" w:rsidRPr="0070398F">
        <w:rPr>
          <w:lang w:val="en-US"/>
        </w:rPr>
        <w:t xml:space="preserve"> adopted</w:t>
      </w:r>
      <w:r w:rsidR="00675959" w:rsidRPr="0070398F">
        <w:rPr>
          <w:lang w:val="en-US"/>
        </w:rPr>
        <w:t xml:space="preserve"> </w:t>
      </w:r>
      <w:r w:rsidR="00107A86" w:rsidRPr="0070398F">
        <w:rPr>
          <w:lang w:val="en-US"/>
        </w:rPr>
        <w:t>by the Organization</w:t>
      </w:r>
      <w:r w:rsidR="00214362" w:rsidRPr="0070398F">
        <w:rPr>
          <w:lang w:val="en-US"/>
        </w:rPr>
        <w:t xml:space="preserve"> are applied consistently, year </w:t>
      </w:r>
      <w:r w:rsidR="00A15F53">
        <w:rPr>
          <w:lang w:val="en-US"/>
        </w:rPr>
        <w:t>on</w:t>
      </w:r>
      <w:r w:rsidR="00214362" w:rsidRPr="0070398F">
        <w:rPr>
          <w:lang w:val="en-US"/>
        </w:rPr>
        <w:t xml:space="preserve"> year</w:t>
      </w:r>
      <w:r w:rsidR="00675959" w:rsidRPr="0070398F">
        <w:rPr>
          <w:lang w:val="en-US"/>
        </w:rPr>
        <w:t>.</w:t>
      </w:r>
    </w:p>
    <w:p w:rsidR="001C6733" w:rsidRPr="0070398F" w:rsidRDefault="001C6733" w:rsidP="001C6733">
      <w:pPr>
        <w:spacing w:before="120" w:after="120"/>
        <w:jc w:val="both"/>
        <w:rPr>
          <w:lang w:val="en-US"/>
        </w:rPr>
      </w:pPr>
      <w:r w:rsidRPr="0070398F">
        <w:rPr>
          <w:lang w:val="en-US"/>
        </w:rPr>
        <w:t xml:space="preserve">In the event of a change in the Accounting </w:t>
      </w:r>
      <w:r w:rsidR="0009675A">
        <w:rPr>
          <w:lang w:val="en-US"/>
        </w:rPr>
        <w:t>Regulations</w:t>
      </w:r>
      <w:r w:rsidRPr="0070398F">
        <w:rPr>
          <w:lang w:val="en-US"/>
        </w:rPr>
        <w:t xml:space="preserve">, a retrospective way of reflecting the changes is applied; it consists in applying the new accounting </w:t>
      </w:r>
      <w:r w:rsidR="0009675A">
        <w:rPr>
          <w:lang w:val="en-US"/>
        </w:rPr>
        <w:t>regulations</w:t>
      </w:r>
      <w:r w:rsidRPr="0070398F">
        <w:rPr>
          <w:lang w:val="en-US"/>
        </w:rPr>
        <w:t xml:space="preserve"> to transactions, other events and conditions in such a way as if these accounting </w:t>
      </w:r>
      <w:r w:rsidR="0009675A">
        <w:rPr>
          <w:lang w:val="en-US"/>
        </w:rPr>
        <w:t>regulations</w:t>
      </w:r>
      <w:r w:rsidRPr="0070398F">
        <w:rPr>
          <w:lang w:val="en-US"/>
        </w:rPr>
        <w:t xml:space="preserve"> have always been applied.</w:t>
      </w:r>
    </w:p>
    <w:p w:rsidR="001C6733" w:rsidRPr="0070398F" w:rsidRDefault="001C6733" w:rsidP="001C6733">
      <w:pPr>
        <w:spacing w:before="120" w:after="120"/>
        <w:jc w:val="both"/>
        <w:rPr>
          <w:lang w:val="en-US"/>
        </w:rPr>
      </w:pPr>
      <w:r w:rsidRPr="0070398F">
        <w:rPr>
          <w:lang w:val="en-US"/>
        </w:rPr>
        <w:t>Each fiscal year begins on January 1 and ends on December 31.</w:t>
      </w:r>
    </w:p>
    <w:p w:rsidR="0051353B" w:rsidRPr="0070398F" w:rsidRDefault="00386919" w:rsidP="00675959">
      <w:pPr>
        <w:spacing w:before="120" w:after="120"/>
        <w:jc w:val="both"/>
        <w:rPr>
          <w:lang w:val="en-US"/>
        </w:rPr>
      </w:pPr>
      <w:r w:rsidRPr="0070398F">
        <w:rPr>
          <w:lang w:val="en-US"/>
        </w:rPr>
        <w:t>In accordance with Law of the Republic of Kazakhstan No.</w:t>
      </w:r>
      <w:r w:rsidR="0051353B" w:rsidRPr="0070398F">
        <w:rPr>
          <w:lang w:val="en-US"/>
        </w:rPr>
        <w:t xml:space="preserve"> </w:t>
      </w:r>
      <w:r w:rsidRPr="0070398F">
        <w:rPr>
          <w:lang w:val="en-US"/>
        </w:rPr>
        <w:t xml:space="preserve">110-VI </w:t>
      </w:r>
      <w:proofErr w:type="spellStart"/>
      <w:r w:rsidRPr="0070398F">
        <w:rPr>
          <w:lang w:val="en-US"/>
        </w:rPr>
        <w:t>ZRK</w:t>
      </w:r>
      <w:proofErr w:type="spellEnd"/>
      <w:r w:rsidRPr="0070398F">
        <w:rPr>
          <w:lang w:val="en-US"/>
        </w:rPr>
        <w:t xml:space="preserve"> dated November</w:t>
      </w:r>
      <w:r w:rsidR="0051353B" w:rsidRPr="0070398F">
        <w:rPr>
          <w:lang w:val="en-US"/>
        </w:rPr>
        <w:t xml:space="preserve"> 20</w:t>
      </w:r>
      <w:r w:rsidRPr="0070398F">
        <w:rPr>
          <w:lang w:val="en-US"/>
        </w:rPr>
        <w:t>,</w:t>
      </w:r>
      <w:r w:rsidR="0051353B" w:rsidRPr="0070398F">
        <w:rPr>
          <w:lang w:val="en-US"/>
        </w:rPr>
        <w:t xml:space="preserve"> 2017 </w:t>
      </w:r>
      <w:r w:rsidRPr="0070398F">
        <w:rPr>
          <w:i/>
          <w:lang w:val="en-US"/>
        </w:rPr>
        <w:t>On Ratification of the Headquarters Agreement between the Government of the Republic of Kazakhstan</w:t>
      </w:r>
      <w:r w:rsidR="0051353B" w:rsidRPr="0070398F">
        <w:rPr>
          <w:i/>
          <w:lang w:val="en-US"/>
        </w:rPr>
        <w:t xml:space="preserve"> </w:t>
      </w:r>
      <w:r w:rsidRPr="0070398F">
        <w:rPr>
          <w:i/>
          <w:lang w:val="en-US"/>
        </w:rPr>
        <w:t xml:space="preserve">and Islamic </w:t>
      </w:r>
      <w:r w:rsidR="00677085">
        <w:rPr>
          <w:i/>
          <w:lang w:val="en-US"/>
        </w:rPr>
        <w:t>Organization</w:t>
      </w:r>
      <w:r w:rsidRPr="0070398F">
        <w:rPr>
          <w:i/>
          <w:lang w:val="en-US"/>
        </w:rPr>
        <w:t xml:space="preserve"> for Food Security,</w:t>
      </w:r>
      <w:r w:rsidRPr="0070398F">
        <w:rPr>
          <w:lang w:val="en-US"/>
        </w:rPr>
        <w:t xml:space="preserve"> </w:t>
      </w:r>
      <w:r w:rsidR="00915F49" w:rsidRPr="0070398F">
        <w:rPr>
          <w:lang w:val="en-US"/>
        </w:rPr>
        <w:t>the Organization’s</w:t>
      </w:r>
      <w:r w:rsidR="001C6733" w:rsidRPr="0070398F">
        <w:rPr>
          <w:lang w:val="en-US"/>
        </w:rPr>
        <w:t xml:space="preserve"> property and assets</w:t>
      </w:r>
      <w:r w:rsidR="0051353B" w:rsidRPr="0070398F">
        <w:rPr>
          <w:lang w:val="en-US"/>
        </w:rPr>
        <w:t>,</w:t>
      </w:r>
      <w:r w:rsidR="001C6733" w:rsidRPr="0070398F">
        <w:rPr>
          <w:lang w:val="en-US"/>
        </w:rPr>
        <w:t xml:space="preserve"> regardless of their location or ownership, are provided with immunities and privileges approved by the Agreement, save the events where the Director General acting on the</w:t>
      </w:r>
      <w:r w:rsidR="00915F49" w:rsidRPr="0070398F">
        <w:rPr>
          <w:lang w:val="en-US"/>
        </w:rPr>
        <w:t xml:space="preserve"> Organization’s</w:t>
      </w:r>
      <w:r w:rsidR="001C6733" w:rsidRPr="0070398F">
        <w:rPr>
          <w:lang w:val="en-US"/>
        </w:rPr>
        <w:t xml:space="preserve"> behalf expressly waves immunities</w:t>
      </w:r>
      <w:r w:rsidR="0051353B" w:rsidRPr="0070398F">
        <w:rPr>
          <w:lang w:val="en-US"/>
        </w:rPr>
        <w:t>.</w:t>
      </w:r>
    </w:p>
    <w:p w:rsidR="00675959" w:rsidRPr="0070398F" w:rsidRDefault="00675959" w:rsidP="004F24CC">
      <w:pPr>
        <w:pStyle w:val="1"/>
        <w:spacing w:before="240" w:after="240"/>
        <w:jc w:val="both"/>
        <w:rPr>
          <w:lang w:val="en-US"/>
        </w:rPr>
      </w:pPr>
      <w:r w:rsidRPr="0070398F">
        <w:rPr>
          <w:lang w:val="en-US"/>
        </w:rPr>
        <w:t xml:space="preserve">I. </w:t>
      </w:r>
      <w:r w:rsidR="003656A1" w:rsidRPr="0070398F">
        <w:rPr>
          <w:lang w:val="en-US"/>
        </w:rPr>
        <w:t>Administrative and Technical Section</w:t>
      </w:r>
    </w:p>
    <w:p w:rsidR="00675959" w:rsidRPr="0070398F" w:rsidRDefault="00675959" w:rsidP="004F24CC">
      <w:pPr>
        <w:pStyle w:val="2"/>
        <w:spacing w:before="240" w:after="240"/>
        <w:jc w:val="both"/>
        <w:rPr>
          <w:lang w:val="en-US"/>
        </w:rPr>
      </w:pPr>
      <w:r w:rsidRPr="0070398F">
        <w:rPr>
          <w:lang w:val="en-US"/>
        </w:rPr>
        <w:t xml:space="preserve">1.1. </w:t>
      </w:r>
      <w:r w:rsidR="003656A1" w:rsidRPr="0070398F">
        <w:rPr>
          <w:lang w:val="en-US"/>
        </w:rPr>
        <w:t>Organization’s Regulatory Status</w:t>
      </w:r>
      <w:r w:rsidRPr="0070398F">
        <w:rPr>
          <w:lang w:val="en-US"/>
        </w:rPr>
        <w:t xml:space="preserve"> </w:t>
      </w:r>
    </w:p>
    <w:p w:rsidR="007117FA" w:rsidRPr="0070398F" w:rsidRDefault="00675959" w:rsidP="007117FA">
      <w:pPr>
        <w:spacing w:before="240" w:after="120"/>
        <w:jc w:val="both"/>
        <w:rPr>
          <w:lang w:val="en-US"/>
        </w:rPr>
      </w:pPr>
      <w:r w:rsidRPr="0070398F">
        <w:rPr>
          <w:b/>
          <w:bCs/>
          <w:lang w:val="en-US"/>
        </w:rPr>
        <w:t>1.1.1</w:t>
      </w:r>
      <w:r w:rsidRPr="0070398F">
        <w:rPr>
          <w:lang w:val="en-US"/>
        </w:rPr>
        <w:t xml:space="preserve">.  </w:t>
      </w:r>
      <w:r w:rsidR="003656A1" w:rsidRPr="0070398F">
        <w:rPr>
          <w:lang w:val="en-US"/>
        </w:rPr>
        <w:t>T</w:t>
      </w:r>
      <w:r w:rsidR="00DF1CDA" w:rsidRPr="0070398F">
        <w:rPr>
          <w:lang w:val="en-US"/>
        </w:rPr>
        <w:t xml:space="preserve">he </w:t>
      </w:r>
      <w:r w:rsidR="007117FA" w:rsidRPr="0070398F">
        <w:rPr>
          <w:lang w:val="en-US"/>
        </w:rPr>
        <w:t xml:space="preserve">Islamic </w:t>
      </w:r>
      <w:r w:rsidR="00677085">
        <w:rPr>
          <w:lang w:val="en-US"/>
        </w:rPr>
        <w:t>Organization</w:t>
      </w:r>
      <w:r w:rsidR="007117FA" w:rsidRPr="0070398F">
        <w:rPr>
          <w:lang w:val="en-US"/>
        </w:rPr>
        <w:t xml:space="preserve"> for Food Security (</w:t>
      </w:r>
      <w:r w:rsidR="003656A1" w:rsidRPr="0070398F">
        <w:rPr>
          <w:lang w:val="en-US"/>
        </w:rPr>
        <w:t>“</w:t>
      </w:r>
      <w:r w:rsidR="00DF1CDA" w:rsidRPr="0070398F">
        <w:rPr>
          <w:lang w:val="en-US"/>
        </w:rPr>
        <w:t>Organization</w:t>
      </w:r>
      <w:r w:rsidR="003656A1" w:rsidRPr="0070398F">
        <w:rPr>
          <w:lang w:val="en-US"/>
        </w:rPr>
        <w:t>”</w:t>
      </w:r>
      <w:r w:rsidR="007117FA" w:rsidRPr="0070398F">
        <w:rPr>
          <w:lang w:val="en-US"/>
        </w:rPr>
        <w:t>)</w:t>
      </w:r>
      <w:r w:rsidR="00EF253B" w:rsidRPr="0070398F">
        <w:rPr>
          <w:lang w:val="en-US"/>
        </w:rPr>
        <w:t xml:space="preserve"> is a specialized agency of</w:t>
      </w:r>
      <w:r w:rsidR="007117FA" w:rsidRPr="0070398F">
        <w:rPr>
          <w:lang w:val="en-US"/>
        </w:rPr>
        <w:t xml:space="preserve"> </w:t>
      </w:r>
      <w:r w:rsidR="00915F49" w:rsidRPr="0070398F">
        <w:rPr>
          <w:lang w:val="en-US"/>
        </w:rPr>
        <w:t>the Organi</w:t>
      </w:r>
      <w:r w:rsidR="00EF253B" w:rsidRPr="0070398F">
        <w:rPr>
          <w:lang w:val="en-US"/>
        </w:rPr>
        <w:t>z</w:t>
      </w:r>
      <w:r w:rsidR="00915F49" w:rsidRPr="0070398F">
        <w:rPr>
          <w:lang w:val="en-US"/>
        </w:rPr>
        <w:t>ation</w:t>
      </w:r>
      <w:r w:rsidR="007117FA" w:rsidRPr="0070398F">
        <w:rPr>
          <w:lang w:val="en-US"/>
        </w:rPr>
        <w:t xml:space="preserve"> </w:t>
      </w:r>
      <w:r w:rsidR="00EF253B" w:rsidRPr="0070398F">
        <w:rPr>
          <w:lang w:val="en-US"/>
        </w:rPr>
        <w:t xml:space="preserve">of Islamic Cooperation </w:t>
      </w:r>
      <w:r w:rsidR="007117FA" w:rsidRPr="0070398F">
        <w:rPr>
          <w:lang w:val="en-US"/>
        </w:rPr>
        <w:t>(</w:t>
      </w:r>
      <w:r w:rsidR="00EF253B" w:rsidRPr="0070398F">
        <w:rPr>
          <w:lang w:val="en-US"/>
        </w:rPr>
        <w:t>“</w:t>
      </w:r>
      <w:proofErr w:type="spellStart"/>
      <w:r w:rsidR="00EF253B" w:rsidRPr="0070398F">
        <w:rPr>
          <w:lang w:val="en-US"/>
        </w:rPr>
        <w:t>OIC</w:t>
      </w:r>
      <w:proofErr w:type="spellEnd"/>
      <w:r w:rsidR="00EF253B" w:rsidRPr="0070398F">
        <w:rPr>
          <w:lang w:val="en-US"/>
        </w:rPr>
        <w:t>”) in accordance with Article</w:t>
      </w:r>
      <w:r w:rsidR="007117FA" w:rsidRPr="0070398F">
        <w:rPr>
          <w:lang w:val="en-US"/>
        </w:rPr>
        <w:t xml:space="preserve"> 24 </w:t>
      </w:r>
      <w:r w:rsidR="00EF253B" w:rsidRPr="0070398F">
        <w:rPr>
          <w:lang w:val="en-US"/>
        </w:rPr>
        <w:t xml:space="preserve">of the </w:t>
      </w:r>
      <w:proofErr w:type="spellStart"/>
      <w:r w:rsidR="00EF253B" w:rsidRPr="0070398F">
        <w:rPr>
          <w:lang w:val="en-US"/>
        </w:rPr>
        <w:t>OIC</w:t>
      </w:r>
      <w:proofErr w:type="spellEnd"/>
      <w:r w:rsidR="00EF253B" w:rsidRPr="0070398F">
        <w:rPr>
          <w:lang w:val="en-US"/>
        </w:rPr>
        <w:t xml:space="preserve"> Charter</w:t>
      </w:r>
      <w:r w:rsidR="007117FA" w:rsidRPr="0070398F">
        <w:rPr>
          <w:lang w:val="en-US"/>
        </w:rPr>
        <w:t xml:space="preserve">. </w:t>
      </w:r>
      <w:r w:rsidR="00EF253B" w:rsidRPr="0070398F">
        <w:rPr>
          <w:lang w:val="en-US"/>
        </w:rPr>
        <w:t>T</w:t>
      </w:r>
      <w:r w:rsidR="00DF1CDA" w:rsidRPr="0070398F">
        <w:rPr>
          <w:lang w:val="en-US"/>
        </w:rPr>
        <w:t>he</w:t>
      </w:r>
      <w:r w:rsidR="00EF253B" w:rsidRPr="0070398F">
        <w:rPr>
          <w:lang w:val="en-US"/>
        </w:rPr>
        <w:t xml:space="preserve"> </w:t>
      </w:r>
      <w:r w:rsidR="00DF1CDA" w:rsidRPr="0070398F">
        <w:rPr>
          <w:lang w:val="en-US"/>
        </w:rPr>
        <w:t>Organization</w:t>
      </w:r>
      <w:r w:rsidR="00EF253B" w:rsidRPr="0070398F">
        <w:rPr>
          <w:lang w:val="en-US"/>
        </w:rPr>
        <w:t xml:space="preserve"> enjoys the status of a full-fledged legal entity as an international agency </w:t>
      </w:r>
      <w:r w:rsidR="00C57F07" w:rsidRPr="0070398F">
        <w:rPr>
          <w:lang w:val="en-US"/>
        </w:rPr>
        <w:t>and operates and performs its tasks defined by the Charter through using its full legal status and capacity</w:t>
      </w:r>
      <w:r w:rsidR="007117FA" w:rsidRPr="0070398F">
        <w:rPr>
          <w:lang w:val="en-US"/>
        </w:rPr>
        <w:t xml:space="preserve">. </w:t>
      </w:r>
      <w:r w:rsidR="00C57F07" w:rsidRPr="0070398F">
        <w:rPr>
          <w:lang w:val="en-US"/>
        </w:rPr>
        <w:t>T</w:t>
      </w:r>
      <w:r w:rsidR="00DF1CDA" w:rsidRPr="0070398F">
        <w:rPr>
          <w:lang w:val="en-US"/>
        </w:rPr>
        <w:t>he</w:t>
      </w:r>
      <w:r w:rsidR="00C57F07" w:rsidRPr="0070398F">
        <w:rPr>
          <w:lang w:val="en-US"/>
        </w:rPr>
        <w:t xml:space="preserve"> </w:t>
      </w:r>
      <w:r w:rsidR="00DF1CDA" w:rsidRPr="0070398F">
        <w:rPr>
          <w:lang w:val="en-US"/>
        </w:rPr>
        <w:t>Organization</w:t>
      </w:r>
      <w:r w:rsidR="00C57F07" w:rsidRPr="0070398F">
        <w:rPr>
          <w:lang w:val="en-US"/>
        </w:rPr>
        <w:t xml:space="preserve"> has immunities and privileges, including, but not limited to legal immunity and tax exemption</w:t>
      </w:r>
      <w:r w:rsidR="007117FA" w:rsidRPr="0070398F">
        <w:rPr>
          <w:lang w:val="en-US"/>
        </w:rPr>
        <w:t>.</w:t>
      </w:r>
    </w:p>
    <w:p w:rsidR="007117FA" w:rsidRPr="0070398F" w:rsidRDefault="00C57F07" w:rsidP="007117FA">
      <w:pPr>
        <w:spacing w:before="240" w:after="120"/>
        <w:jc w:val="both"/>
        <w:rPr>
          <w:lang w:val="en-US"/>
        </w:rPr>
      </w:pPr>
      <w:r w:rsidRPr="0070398F">
        <w:rPr>
          <w:lang w:val="en-US"/>
        </w:rPr>
        <w:t xml:space="preserve">The Charter of </w:t>
      </w:r>
      <w:r w:rsidR="00915F49" w:rsidRPr="0070398F">
        <w:rPr>
          <w:lang w:val="en-US"/>
        </w:rPr>
        <w:t xml:space="preserve">the </w:t>
      </w:r>
      <w:r w:rsidRPr="0070398F">
        <w:rPr>
          <w:lang w:val="en-US"/>
        </w:rPr>
        <w:t xml:space="preserve">Islamic </w:t>
      </w:r>
      <w:r w:rsidR="00677085">
        <w:rPr>
          <w:lang w:val="en-US"/>
        </w:rPr>
        <w:t>Organization</w:t>
      </w:r>
      <w:r w:rsidRPr="0070398F">
        <w:rPr>
          <w:lang w:val="en-US"/>
        </w:rPr>
        <w:t xml:space="preserve"> for Food Security was ratified by Law</w:t>
      </w:r>
      <w:r w:rsidR="007117FA" w:rsidRPr="0070398F">
        <w:rPr>
          <w:lang w:val="en-US"/>
        </w:rPr>
        <w:t xml:space="preserve"> </w:t>
      </w:r>
      <w:r w:rsidR="00386919" w:rsidRPr="0070398F">
        <w:rPr>
          <w:lang w:val="en-US"/>
        </w:rPr>
        <w:t>of the Republic of Kazakhstan</w:t>
      </w:r>
      <w:r w:rsidR="007117FA" w:rsidRPr="0070398F">
        <w:rPr>
          <w:lang w:val="en-US"/>
        </w:rPr>
        <w:t xml:space="preserve"> </w:t>
      </w:r>
      <w:r w:rsidRPr="0070398F">
        <w:rPr>
          <w:lang w:val="en-US"/>
        </w:rPr>
        <w:t>No.</w:t>
      </w:r>
      <w:r w:rsidR="007117FA" w:rsidRPr="0070398F">
        <w:rPr>
          <w:lang w:val="en-US"/>
        </w:rPr>
        <w:t xml:space="preserve"> 256-V </w:t>
      </w:r>
      <w:proofErr w:type="spellStart"/>
      <w:r w:rsidRPr="0070398F">
        <w:rPr>
          <w:lang w:val="en-US"/>
        </w:rPr>
        <w:t>ZRK</w:t>
      </w:r>
      <w:proofErr w:type="spellEnd"/>
      <w:r w:rsidRPr="0070398F">
        <w:rPr>
          <w:lang w:val="en-US"/>
        </w:rPr>
        <w:t xml:space="preserve"> dated November 21, 2014</w:t>
      </w:r>
      <w:r w:rsidR="007117FA" w:rsidRPr="0070398F">
        <w:rPr>
          <w:lang w:val="en-US"/>
        </w:rPr>
        <w:t xml:space="preserve"> </w:t>
      </w:r>
      <w:r w:rsidRPr="0070398F">
        <w:rPr>
          <w:lang w:val="en-US"/>
        </w:rPr>
        <w:t>adopted in</w:t>
      </w:r>
      <w:r w:rsidR="007117FA" w:rsidRPr="0070398F">
        <w:rPr>
          <w:lang w:val="en-US"/>
        </w:rPr>
        <w:t xml:space="preserve"> </w:t>
      </w:r>
      <w:r w:rsidRPr="0070398F">
        <w:rPr>
          <w:lang w:val="en-US"/>
        </w:rPr>
        <w:t xml:space="preserve">Conakry on December </w:t>
      </w:r>
      <w:r w:rsidR="007117FA" w:rsidRPr="0070398F">
        <w:rPr>
          <w:lang w:val="en-US"/>
        </w:rPr>
        <w:t>10</w:t>
      </w:r>
      <w:r w:rsidRPr="0070398F">
        <w:rPr>
          <w:lang w:val="en-US"/>
        </w:rPr>
        <w:t>,</w:t>
      </w:r>
      <w:r w:rsidR="007117FA" w:rsidRPr="0070398F">
        <w:rPr>
          <w:lang w:val="en-US"/>
        </w:rPr>
        <w:t xml:space="preserve"> 2013</w:t>
      </w:r>
      <w:r w:rsidRPr="0070398F">
        <w:rPr>
          <w:lang w:val="en-US"/>
        </w:rPr>
        <w:t xml:space="preserve"> and brought into effect from January </w:t>
      </w:r>
      <w:r w:rsidR="007117FA" w:rsidRPr="0070398F">
        <w:rPr>
          <w:lang w:val="en-US"/>
        </w:rPr>
        <w:t>1</w:t>
      </w:r>
      <w:r w:rsidRPr="0070398F">
        <w:rPr>
          <w:lang w:val="en-US"/>
        </w:rPr>
        <w:t>,</w:t>
      </w:r>
      <w:r w:rsidR="007117FA" w:rsidRPr="0070398F">
        <w:rPr>
          <w:lang w:val="en-US"/>
        </w:rPr>
        <w:t xml:space="preserve"> 2015. </w:t>
      </w:r>
      <w:r w:rsidRPr="0070398F">
        <w:rPr>
          <w:lang w:val="en-US"/>
        </w:rPr>
        <w:t>Business Identification Number:</w:t>
      </w:r>
      <w:r w:rsidR="007117FA" w:rsidRPr="0070398F">
        <w:rPr>
          <w:lang w:val="en-US"/>
        </w:rPr>
        <w:t xml:space="preserve"> 171250003428.</w:t>
      </w:r>
    </w:p>
    <w:p w:rsidR="00675959" w:rsidRPr="0070398F" w:rsidRDefault="00675959" w:rsidP="000B0DF3">
      <w:pPr>
        <w:spacing w:before="120" w:after="120"/>
        <w:jc w:val="both"/>
        <w:rPr>
          <w:rStyle w:val="af7"/>
          <w:lang w:val="en-US"/>
        </w:rPr>
      </w:pPr>
      <w:r w:rsidRPr="0070398F">
        <w:rPr>
          <w:rStyle w:val="af7"/>
          <w:lang w:val="en-US"/>
        </w:rPr>
        <w:t xml:space="preserve">1.1.2. </w:t>
      </w:r>
      <w:r w:rsidR="00B204B0" w:rsidRPr="0070398F">
        <w:rPr>
          <w:rStyle w:val="af7"/>
          <w:lang w:val="en-US"/>
        </w:rPr>
        <w:t xml:space="preserve">The Organization’s </w:t>
      </w:r>
      <w:r w:rsidR="00C57F07" w:rsidRPr="0070398F">
        <w:rPr>
          <w:rStyle w:val="af7"/>
          <w:lang w:val="en-US"/>
        </w:rPr>
        <w:t>Registered Office</w:t>
      </w:r>
      <w:r w:rsidRPr="0070398F">
        <w:rPr>
          <w:rStyle w:val="af7"/>
          <w:lang w:val="en-US"/>
        </w:rPr>
        <w:t>:</w:t>
      </w:r>
    </w:p>
    <w:p w:rsidR="00675959" w:rsidRPr="0070398F" w:rsidRDefault="00B204B0" w:rsidP="00675959">
      <w:pPr>
        <w:spacing w:before="120" w:after="120"/>
        <w:jc w:val="both"/>
        <w:rPr>
          <w:lang w:val="en-US"/>
        </w:rPr>
      </w:pPr>
      <w:r w:rsidRPr="0070398F">
        <w:rPr>
          <w:lang w:val="en-US"/>
        </w:rPr>
        <w:t>Registered office</w:t>
      </w:r>
      <w:r w:rsidR="00675959" w:rsidRPr="0070398F">
        <w:rPr>
          <w:lang w:val="en-US"/>
        </w:rPr>
        <w:t xml:space="preserve">: </w:t>
      </w:r>
      <w:r w:rsidRPr="0070398F">
        <w:rPr>
          <w:lang w:val="en-US"/>
        </w:rPr>
        <w:t>AIFC Building, Block 4, C4.2, 55/21 Mangilik El Avenue, Nur-Sultan, Kazakhstan</w:t>
      </w:r>
      <w:r w:rsidR="007117FA" w:rsidRPr="0070398F">
        <w:rPr>
          <w:lang w:val="en-US"/>
        </w:rPr>
        <w:t>.</w:t>
      </w:r>
    </w:p>
    <w:p w:rsidR="007117FA" w:rsidRPr="0070398F" w:rsidRDefault="005F79BE" w:rsidP="007117FA">
      <w:pPr>
        <w:spacing w:before="240" w:after="120"/>
        <w:jc w:val="both"/>
        <w:rPr>
          <w:lang w:val="en-US"/>
        </w:rPr>
      </w:pPr>
      <w:r w:rsidRPr="0070398F">
        <w:rPr>
          <w:lang w:val="en-US"/>
        </w:rPr>
        <w:lastRenderedPageBreak/>
        <w:t xml:space="preserve">Law of the Republic of Kazakhstan No. 110-VI </w:t>
      </w:r>
      <w:proofErr w:type="spellStart"/>
      <w:r w:rsidRPr="0070398F">
        <w:rPr>
          <w:lang w:val="en-US"/>
        </w:rPr>
        <w:t>ZRK</w:t>
      </w:r>
      <w:proofErr w:type="spellEnd"/>
      <w:r w:rsidRPr="0070398F">
        <w:rPr>
          <w:lang w:val="en-US"/>
        </w:rPr>
        <w:t xml:space="preserve"> dated November 20, 2017 </w:t>
      </w:r>
      <w:r w:rsidRPr="0070398F">
        <w:rPr>
          <w:i/>
          <w:lang w:val="en-US"/>
        </w:rPr>
        <w:t xml:space="preserve">On Ratification of the Headquarters Agreement between the Government of the Republic of Kazakhstan and Islamic </w:t>
      </w:r>
      <w:r w:rsidR="00677085">
        <w:rPr>
          <w:i/>
          <w:lang w:val="en-US"/>
        </w:rPr>
        <w:t>Organization</w:t>
      </w:r>
      <w:r w:rsidRPr="0070398F">
        <w:rPr>
          <w:i/>
          <w:lang w:val="en-US"/>
        </w:rPr>
        <w:t xml:space="preserve"> for Food Security</w:t>
      </w:r>
      <w:r w:rsidR="007117FA" w:rsidRPr="0070398F">
        <w:rPr>
          <w:lang w:val="en-US"/>
        </w:rPr>
        <w:t xml:space="preserve"> </w:t>
      </w:r>
      <w:r w:rsidR="00A8301E" w:rsidRPr="0070398F">
        <w:rPr>
          <w:lang w:val="en-US"/>
        </w:rPr>
        <w:t xml:space="preserve">in accordance with the Charter of </w:t>
      </w:r>
      <w:r w:rsidR="00915F49" w:rsidRPr="0070398F">
        <w:rPr>
          <w:lang w:val="en-US"/>
        </w:rPr>
        <w:t>the Organizatio</w:t>
      </w:r>
      <w:r w:rsidR="00A8301E" w:rsidRPr="0070398F">
        <w:rPr>
          <w:lang w:val="en-US"/>
        </w:rPr>
        <w:t>n of Islamic Cooperation ratified by the Republic of Kazakhstan on February</w:t>
      </w:r>
      <w:r w:rsidR="007117FA" w:rsidRPr="0070398F">
        <w:rPr>
          <w:lang w:val="en-US"/>
        </w:rPr>
        <w:t xml:space="preserve"> 21</w:t>
      </w:r>
      <w:r w:rsidR="00A8301E" w:rsidRPr="0070398F">
        <w:rPr>
          <w:lang w:val="en-US"/>
        </w:rPr>
        <w:t>,</w:t>
      </w:r>
      <w:r w:rsidR="007117FA" w:rsidRPr="0070398F">
        <w:rPr>
          <w:lang w:val="en-US"/>
        </w:rPr>
        <w:t xml:space="preserve"> 2012,</w:t>
      </w:r>
      <w:r w:rsidR="00A8301E" w:rsidRPr="0070398F">
        <w:rPr>
          <w:lang w:val="en-US"/>
        </w:rPr>
        <w:t xml:space="preserve"> pursuant to Resolution of the Council of Foreign Ministers of </w:t>
      </w:r>
      <w:r w:rsidR="00915F49" w:rsidRPr="0070398F">
        <w:rPr>
          <w:lang w:val="en-US"/>
        </w:rPr>
        <w:t>the Organization</w:t>
      </w:r>
      <w:r w:rsidR="00A8301E" w:rsidRPr="0070398F">
        <w:rPr>
          <w:lang w:val="en-US"/>
        </w:rPr>
        <w:t xml:space="preserve"> of Islamic Cooperation No. 3/39-Е dated November</w:t>
      </w:r>
      <w:r w:rsidR="007117FA" w:rsidRPr="0070398F">
        <w:rPr>
          <w:lang w:val="en-US"/>
        </w:rPr>
        <w:t xml:space="preserve"> 15-17</w:t>
      </w:r>
      <w:r w:rsidR="00A8301E" w:rsidRPr="0070398F">
        <w:rPr>
          <w:lang w:val="en-US"/>
        </w:rPr>
        <w:t>,</w:t>
      </w:r>
      <w:r w:rsidR="007117FA" w:rsidRPr="0070398F">
        <w:rPr>
          <w:lang w:val="en-US"/>
        </w:rPr>
        <w:t xml:space="preserve"> 2012</w:t>
      </w:r>
      <w:r w:rsidR="00A8301E" w:rsidRPr="0070398F">
        <w:rPr>
          <w:lang w:val="en-US"/>
        </w:rPr>
        <w:t>, the headquarters of the Islamic</w:t>
      </w:r>
      <w:r w:rsidR="00915F49" w:rsidRPr="0070398F">
        <w:rPr>
          <w:lang w:val="en-US"/>
        </w:rPr>
        <w:t xml:space="preserve"> </w:t>
      </w:r>
      <w:r w:rsidR="00677085">
        <w:rPr>
          <w:lang w:val="en-US"/>
        </w:rPr>
        <w:t>Organization</w:t>
      </w:r>
      <w:r w:rsidR="00A8301E" w:rsidRPr="0070398F">
        <w:rPr>
          <w:lang w:val="en-US"/>
        </w:rPr>
        <w:t xml:space="preserve"> for Food Security are located in the city of Astana (Nur-Sultan)</w:t>
      </w:r>
      <w:r w:rsidR="007117FA" w:rsidRPr="0070398F">
        <w:rPr>
          <w:lang w:val="en-US"/>
        </w:rPr>
        <w:t>.</w:t>
      </w:r>
    </w:p>
    <w:p w:rsidR="00675959" w:rsidRPr="0070398F" w:rsidRDefault="00675959" w:rsidP="000B0DF3">
      <w:pPr>
        <w:spacing w:before="120" w:after="120"/>
        <w:jc w:val="both"/>
        <w:rPr>
          <w:rStyle w:val="af7"/>
          <w:lang w:val="en-US"/>
        </w:rPr>
      </w:pPr>
      <w:r w:rsidRPr="0070398F">
        <w:rPr>
          <w:rStyle w:val="af7"/>
          <w:lang w:val="en-US"/>
        </w:rPr>
        <w:t xml:space="preserve">1.1.3. </w:t>
      </w:r>
      <w:r w:rsidR="00C41A01" w:rsidRPr="0070398F">
        <w:rPr>
          <w:rStyle w:val="af7"/>
          <w:lang w:val="en-US"/>
        </w:rPr>
        <w:t xml:space="preserve">According to the Charter, </w:t>
      </w:r>
      <w:r w:rsidR="00033E22" w:rsidRPr="0070398F">
        <w:rPr>
          <w:rStyle w:val="af7"/>
          <w:lang w:val="en-US"/>
        </w:rPr>
        <w:t>the main goals and objectives of</w:t>
      </w:r>
      <w:r w:rsidR="007117FA" w:rsidRPr="0070398F">
        <w:rPr>
          <w:rStyle w:val="af7"/>
          <w:lang w:val="en-US"/>
        </w:rPr>
        <w:t xml:space="preserve"> </w:t>
      </w:r>
      <w:r w:rsidR="00915F49" w:rsidRPr="0070398F">
        <w:rPr>
          <w:rStyle w:val="af7"/>
          <w:lang w:val="en-US"/>
        </w:rPr>
        <w:t>the Organization</w:t>
      </w:r>
      <w:r w:rsidR="00033E22" w:rsidRPr="0070398F">
        <w:rPr>
          <w:rStyle w:val="af7"/>
          <w:lang w:val="en-US"/>
        </w:rPr>
        <w:t xml:space="preserve"> are</w:t>
      </w:r>
      <w:r w:rsidR="00D81157" w:rsidRPr="0070398F">
        <w:rPr>
          <w:rStyle w:val="af7"/>
          <w:lang w:val="en-US"/>
        </w:rPr>
        <w:t xml:space="preserve"> as follows</w:t>
      </w:r>
      <w:r w:rsidRPr="0070398F">
        <w:rPr>
          <w:rStyle w:val="af7"/>
          <w:lang w:val="en-US"/>
        </w:rPr>
        <w:t>:</w:t>
      </w:r>
    </w:p>
    <w:p w:rsidR="00D81157" w:rsidRPr="0070398F" w:rsidRDefault="00D81157" w:rsidP="00D81157">
      <w:pPr>
        <w:spacing w:before="120" w:after="120"/>
        <w:jc w:val="both"/>
        <w:rPr>
          <w:lang w:val="en-US"/>
        </w:rPr>
      </w:pPr>
      <w:r w:rsidRPr="0070398F">
        <w:rPr>
          <w:lang w:val="en-US"/>
        </w:rPr>
        <w:t>(a) provide expertise and technical know-how to Member States on various aspects of the effective development of agriculture, rural areas, food security, and the development of biotechnology, as well as address the issues caused by desertification, forest reduction, soil erosion and salinization, and also ensure sustainable social relations;</w:t>
      </w:r>
    </w:p>
    <w:p w:rsidR="00D81157" w:rsidRPr="0070398F" w:rsidRDefault="00D81157" w:rsidP="00D81157">
      <w:pPr>
        <w:spacing w:before="120" w:after="120"/>
        <w:jc w:val="both"/>
        <w:rPr>
          <w:lang w:val="en-US"/>
        </w:rPr>
      </w:pPr>
      <w:r w:rsidRPr="0070398F">
        <w:rPr>
          <w:lang w:val="en-US"/>
        </w:rPr>
        <w:t>(b) in coordination with Member States, assess and monitor the industrial safety situation in Member States in order to identify and provide the necessary emergency and humanitarian assistance, including by creating food security reserves;</w:t>
      </w:r>
    </w:p>
    <w:p w:rsidR="00D81157" w:rsidRPr="0070398F" w:rsidRDefault="00D81157" w:rsidP="00D81157">
      <w:pPr>
        <w:spacing w:before="120" w:after="120"/>
        <w:jc w:val="both"/>
        <w:rPr>
          <w:lang w:val="en-US"/>
        </w:rPr>
      </w:pPr>
      <w:r w:rsidRPr="0070398F">
        <w:rPr>
          <w:lang w:val="en-US"/>
        </w:rPr>
        <w:t>(c) mobilize and manage financial and agricultural resources for the development of agriculture and food security in Member States; and</w:t>
      </w:r>
    </w:p>
    <w:p w:rsidR="00D81157" w:rsidRPr="0070398F" w:rsidRDefault="00D81157" w:rsidP="00D81157">
      <w:pPr>
        <w:spacing w:before="120" w:after="120"/>
        <w:jc w:val="both"/>
        <w:rPr>
          <w:lang w:val="en-US"/>
        </w:rPr>
      </w:pPr>
      <w:r w:rsidRPr="0070398F">
        <w:rPr>
          <w:lang w:val="en-US"/>
        </w:rPr>
        <w:t xml:space="preserve">(d) coordinate, </w:t>
      </w:r>
      <w:r w:rsidR="00B22544" w:rsidRPr="0070398F">
        <w:rPr>
          <w:lang w:val="en-US"/>
        </w:rPr>
        <w:t>frame</w:t>
      </w:r>
      <w:r w:rsidRPr="0070398F">
        <w:rPr>
          <w:lang w:val="en-US"/>
        </w:rPr>
        <w:t xml:space="preserve"> and implement common agricultural principles, including through the exchange and transfer of appropriate technolog</w:t>
      </w:r>
      <w:r w:rsidR="00B22544" w:rsidRPr="0070398F">
        <w:rPr>
          <w:lang w:val="en-US"/>
        </w:rPr>
        <w:t>y</w:t>
      </w:r>
      <w:r w:rsidRPr="0070398F">
        <w:rPr>
          <w:lang w:val="en-US"/>
        </w:rPr>
        <w:t xml:space="preserve">. </w:t>
      </w:r>
    </w:p>
    <w:p w:rsidR="00976A27" w:rsidRPr="0070398F" w:rsidRDefault="00976A27" w:rsidP="000B0DF3">
      <w:pPr>
        <w:spacing w:before="120" w:after="120"/>
        <w:jc w:val="both"/>
        <w:rPr>
          <w:b/>
          <w:lang w:val="en-US"/>
        </w:rPr>
      </w:pPr>
      <w:r w:rsidRPr="0070398F">
        <w:rPr>
          <w:b/>
          <w:lang w:val="en-US"/>
        </w:rPr>
        <w:t xml:space="preserve">1.1.4. </w:t>
      </w:r>
      <w:r w:rsidR="00B22544" w:rsidRPr="0070398F">
        <w:rPr>
          <w:b/>
          <w:lang w:val="en-US"/>
        </w:rPr>
        <w:t>The Parties to the Organization’s Charter and the Organization’s Bodies are</w:t>
      </w:r>
      <w:r w:rsidRPr="0070398F">
        <w:rPr>
          <w:b/>
          <w:lang w:val="en-US"/>
        </w:rPr>
        <w:t>:</w:t>
      </w:r>
    </w:p>
    <w:p w:rsidR="00675959" w:rsidRPr="0070398F" w:rsidRDefault="00B22544" w:rsidP="007117FA">
      <w:pPr>
        <w:spacing w:before="120" w:after="120"/>
        <w:jc w:val="both"/>
        <w:rPr>
          <w:lang w:val="en-US"/>
        </w:rPr>
      </w:pPr>
      <w:r w:rsidRPr="0070398F">
        <w:rPr>
          <w:lang w:val="en-US"/>
        </w:rPr>
        <w:t xml:space="preserve">The Parties to the Charter of the </w:t>
      </w:r>
      <w:r w:rsidR="00976A27" w:rsidRPr="0070398F">
        <w:rPr>
          <w:lang w:val="en-US"/>
        </w:rPr>
        <w:t xml:space="preserve">Islamic </w:t>
      </w:r>
      <w:r w:rsidR="00677085">
        <w:rPr>
          <w:lang w:val="en-US"/>
        </w:rPr>
        <w:t>Organization</w:t>
      </w:r>
      <w:r w:rsidR="00976A27" w:rsidRPr="0070398F">
        <w:rPr>
          <w:lang w:val="en-US"/>
        </w:rPr>
        <w:t xml:space="preserve"> for Food Security</w:t>
      </w:r>
      <w:r w:rsidRPr="0070398F">
        <w:rPr>
          <w:lang w:val="en-US"/>
        </w:rPr>
        <w:t xml:space="preserve"> are the Governments of Member States of the </w:t>
      </w:r>
      <w:r w:rsidR="00915F49" w:rsidRPr="0070398F">
        <w:rPr>
          <w:lang w:val="en-US"/>
        </w:rPr>
        <w:t>Organization</w:t>
      </w:r>
      <w:r w:rsidRPr="0070398F">
        <w:rPr>
          <w:lang w:val="en-US"/>
        </w:rPr>
        <w:t xml:space="preserve"> of Islamic Cooperation</w:t>
      </w:r>
      <w:r w:rsidR="00976A27" w:rsidRPr="0070398F">
        <w:rPr>
          <w:lang w:val="en-US"/>
        </w:rPr>
        <w:t>.</w:t>
      </w:r>
      <w:r w:rsidR="00675959" w:rsidRPr="0070398F">
        <w:rPr>
          <w:lang w:val="en-US"/>
        </w:rPr>
        <w:tab/>
      </w:r>
    </w:p>
    <w:p w:rsidR="00976A27" w:rsidRPr="0070398F" w:rsidRDefault="00B22544" w:rsidP="000B0DF3">
      <w:pPr>
        <w:spacing w:before="120" w:after="120"/>
        <w:jc w:val="both"/>
        <w:rPr>
          <w:b/>
          <w:lang w:val="en-US"/>
        </w:rPr>
      </w:pPr>
      <w:r w:rsidRPr="0070398F">
        <w:rPr>
          <w:b/>
          <w:lang w:val="en-US"/>
        </w:rPr>
        <w:t>T</w:t>
      </w:r>
      <w:r w:rsidR="00915F49" w:rsidRPr="0070398F">
        <w:rPr>
          <w:b/>
          <w:lang w:val="en-US"/>
        </w:rPr>
        <w:t>h</w:t>
      </w:r>
      <w:r w:rsidRPr="0070398F">
        <w:rPr>
          <w:b/>
          <w:lang w:val="en-US"/>
        </w:rPr>
        <w:t xml:space="preserve">e </w:t>
      </w:r>
      <w:r w:rsidR="00915F49" w:rsidRPr="0070398F">
        <w:rPr>
          <w:b/>
          <w:lang w:val="en-US"/>
        </w:rPr>
        <w:t>Organization’s</w:t>
      </w:r>
      <w:r w:rsidR="00976A27" w:rsidRPr="0070398F">
        <w:rPr>
          <w:b/>
          <w:lang w:val="en-US"/>
        </w:rPr>
        <w:t xml:space="preserve"> </w:t>
      </w:r>
      <w:r w:rsidRPr="0070398F">
        <w:rPr>
          <w:b/>
          <w:lang w:val="en-US"/>
        </w:rPr>
        <w:t>Bodies are</w:t>
      </w:r>
      <w:r w:rsidR="00976A27" w:rsidRPr="0070398F">
        <w:rPr>
          <w:b/>
          <w:lang w:val="en-US"/>
        </w:rPr>
        <w:t>:</w:t>
      </w:r>
    </w:p>
    <w:p w:rsidR="00976A27" w:rsidRPr="0070398F" w:rsidRDefault="00976A27" w:rsidP="00743CDB">
      <w:pPr>
        <w:spacing w:before="120" w:after="120"/>
        <w:jc w:val="both"/>
        <w:rPr>
          <w:lang w:val="en-US"/>
        </w:rPr>
      </w:pPr>
      <w:r w:rsidRPr="0070398F">
        <w:rPr>
          <w:lang w:val="en-US"/>
        </w:rPr>
        <w:t xml:space="preserve">(a) </w:t>
      </w:r>
      <w:r w:rsidR="009D5D84" w:rsidRPr="0070398F">
        <w:rPr>
          <w:lang w:val="en-US"/>
        </w:rPr>
        <w:t>General Assembly consisting of the ministers in charge of the issues within the</w:t>
      </w:r>
      <w:r w:rsidR="00743CDB" w:rsidRPr="0070398F">
        <w:rPr>
          <w:lang w:val="en-US"/>
        </w:rPr>
        <w:t xml:space="preserve"> </w:t>
      </w:r>
      <w:r w:rsidR="00915F49" w:rsidRPr="0070398F">
        <w:rPr>
          <w:lang w:val="en-US"/>
        </w:rPr>
        <w:t>Organization’s</w:t>
      </w:r>
      <w:r w:rsidR="009D5D84" w:rsidRPr="0070398F">
        <w:rPr>
          <w:lang w:val="en-US"/>
        </w:rPr>
        <w:t xml:space="preserve"> mandate and their respective representatives</w:t>
      </w:r>
      <w:r w:rsidR="00366FD0" w:rsidRPr="0070398F">
        <w:rPr>
          <w:lang w:val="en-US"/>
        </w:rPr>
        <w:t xml:space="preserve"> appointed by the relevant Member States</w:t>
      </w:r>
      <w:r w:rsidR="00891A5B" w:rsidRPr="0070398F">
        <w:rPr>
          <w:lang w:val="en-US"/>
        </w:rPr>
        <w:t>;</w:t>
      </w:r>
    </w:p>
    <w:p w:rsidR="00976A27" w:rsidRPr="0070398F" w:rsidRDefault="00743CDB" w:rsidP="00743CDB">
      <w:pPr>
        <w:spacing w:before="120" w:after="120"/>
        <w:jc w:val="both"/>
        <w:rPr>
          <w:lang w:val="en-US"/>
        </w:rPr>
      </w:pPr>
      <w:r w:rsidRPr="0070398F">
        <w:rPr>
          <w:lang w:val="en-US"/>
        </w:rPr>
        <w:t xml:space="preserve">(b) </w:t>
      </w:r>
      <w:r w:rsidR="00366FD0" w:rsidRPr="0070398F">
        <w:rPr>
          <w:lang w:val="en-US"/>
        </w:rPr>
        <w:t>Executive Board consisting of 8 members, including Chairperson. The members are elected by the General Assembly following the principle of fair</w:t>
      </w:r>
      <w:r w:rsidRPr="0070398F">
        <w:rPr>
          <w:lang w:val="en-US"/>
        </w:rPr>
        <w:t xml:space="preserve"> </w:t>
      </w:r>
      <w:r w:rsidR="00366FD0" w:rsidRPr="0070398F">
        <w:rPr>
          <w:lang w:val="en-US"/>
        </w:rPr>
        <w:t>geographic distribution</w:t>
      </w:r>
      <w:r w:rsidR="00891A5B" w:rsidRPr="0070398F">
        <w:rPr>
          <w:lang w:val="en-US"/>
        </w:rPr>
        <w:t>;</w:t>
      </w:r>
      <w:r w:rsidR="00366FD0" w:rsidRPr="0070398F">
        <w:rPr>
          <w:lang w:val="en-US"/>
        </w:rPr>
        <w:t xml:space="preserve"> and</w:t>
      </w:r>
    </w:p>
    <w:p w:rsidR="00976A27" w:rsidRPr="0070398F" w:rsidRDefault="00891A5B" w:rsidP="00891A5B">
      <w:pPr>
        <w:spacing w:before="120" w:after="120"/>
        <w:jc w:val="both"/>
        <w:rPr>
          <w:highlight w:val="cyan"/>
          <w:lang w:val="en-US"/>
        </w:rPr>
      </w:pPr>
      <w:r w:rsidRPr="0070398F">
        <w:rPr>
          <w:lang w:val="en-US"/>
        </w:rPr>
        <w:t xml:space="preserve">(c) </w:t>
      </w:r>
      <w:r w:rsidR="00366FD0" w:rsidRPr="0070398F">
        <w:rPr>
          <w:lang w:val="en-US"/>
        </w:rPr>
        <w:t xml:space="preserve">Secretariat including </w:t>
      </w:r>
      <w:r w:rsidR="009D3516">
        <w:rPr>
          <w:lang w:val="en-US"/>
        </w:rPr>
        <w:t xml:space="preserve">the </w:t>
      </w:r>
      <w:r w:rsidR="00366FD0" w:rsidRPr="0070398F">
        <w:rPr>
          <w:lang w:val="en-US"/>
        </w:rPr>
        <w:t xml:space="preserve">Director General and officers operating in the permanent headquarters or other established offices. </w:t>
      </w:r>
      <w:r w:rsidR="009D3516">
        <w:rPr>
          <w:lang w:val="en-US"/>
        </w:rPr>
        <w:t xml:space="preserve">The </w:t>
      </w:r>
      <w:r w:rsidR="00366FD0" w:rsidRPr="0070398F">
        <w:rPr>
          <w:lang w:val="en-US"/>
        </w:rPr>
        <w:t xml:space="preserve">Director General </w:t>
      </w:r>
      <w:r w:rsidR="009D3516">
        <w:rPr>
          <w:lang w:val="en-US"/>
        </w:rPr>
        <w:t>approves</w:t>
      </w:r>
      <w:r w:rsidR="00366FD0" w:rsidRPr="0070398F">
        <w:rPr>
          <w:lang w:val="en-US"/>
        </w:rPr>
        <w:t xml:space="preserve"> an official list of</w:t>
      </w:r>
      <w:r w:rsidRPr="0070398F">
        <w:rPr>
          <w:lang w:val="en-US"/>
        </w:rPr>
        <w:t xml:space="preserve"> </w:t>
      </w:r>
      <w:r w:rsidR="00915F49" w:rsidRPr="0070398F">
        <w:rPr>
          <w:lang w:val="en-US"/>
        </w:rPr>
        <w:t>the Organization’s</w:t>
      </w:r>
      <w:r w:rsidR="00366FD0" w:rsidRPr="0070398F">
        <w:rPr>
          <w:lang w:val="en-US"/>
        </w:rPr>
        <w:t xml:space="preserve"> employees</w:t>
      </w:r>
      <w:r w:rsidRPr="0070398F">
        <w:rPr>
          <w:lang w:val="en-US"/>
        </w:rPr>
        <w:t>.</w:t>
      </w:r>
    </w:p>
    <w:p w:rsidR="00675959" w:rsidRPr="0070398F" w:rsidRDefault="00366FD0" w:rsidP="0090474C">
      <w:pPr>
        <w:spacing w:before="240" w:after="120"/>
        <w:jc w:val="both"/>
        <w:rPr>
          <w:lang w:val="en-US"/>
        </w:rPr>
      </w:pPr>
      <w:r w:rsidRPr="0070398F">
        <w:rPr>
          <w:b/>
          <w:lang w:val="en-US"/>
        </w:rPr>
        <w:t>T</w:t>
      </w:r>
      <w:r w:rsidR="00DF1CDA" w:rsidRPr="0070398F">
        <w:rPr>
          <w:b/>
          <w:lang w:val="en-US"/>
        </w:rPr>
        <w:t>he</w:t>
      </w:r>
      <w:r w:rsidRPr="0070398F">
        <w:rPr>
          <w:b/>
          <w:lang w:val="en-US"/>
        </w:rPr>
        <w:t xml:space="preserve"> </w:t>
      </w:r>
      <w:r w:rsidR="008B3A91" w:rsidRPr="0070398F">
        <w:rPr>
          <w:b/>
          <w:lang w:val="en-US"/>
        </w:rPr>
        <w:t xml:space="preserve">Islamic </w:t>
      </w:r>
      <w:r w:rsidR="00677085">
        <w:rPr>
          <w:b/>
          <w:lang w:val="en-US"/>
        </w:rPr>
        <w:t>Organization</w:t>
      </w:r>
      <w:r w:rsidR="008B3A91" w:rsidRPr="0070398F">
        <w:rPr>
          <w:b/>
          <w:lang w:val="en-US"/>
        </w:rPr>
        <w:t xml:space="preserve"> for Food Security</w:t>
      </w:r>
      <w:r w:rsidR="008B3A91" w:rsidRPr="0070398F">
        <w:rPr>
          <w:lang w:val="en-US"/>
        </w:rPr>
        <w:t xml:space="preserve"> </w:t>
      </w:r>
      <w:r w:rsidR="00070A6D" w:rsidRPr="0070398F">
        <w:rPr>
          <w:lang w:val="en-US"/>
        </w:rPr>
        <w:t>has a standalone balance sheet</w:t>
      </w:r>
      <w:r w:rsidR="00675959" w:rsidRPr="0070398F">
        <w:rPr>
          <w:lang w:val="en-US"/>
        </w:rPr>
        <w:t>,</w:t>
      </w:r>
      <w:r w:rsidR="00070A6D" w:rsidRPr="0070398F">
        <w:rPr>
          <w:lang w:val="en-US"/>
        </w:rPr>
        <w:t xml:space="preserve"> settlement and foreign currency accounts with</w:t>
      </w:r>
      <w:r w:rsidR="008B3A91" w:rsidRPr="0070398F">
        <w:rPr>
          <w:lang w:val="en-US"/>
        </w:rPr>
        <w:t xml:space="preserve"> </w:t>
      </w:r>
      <w:r w:rsidR="00166443" w:rsidRPr="0070398F">
        <w:rPr>
          <w:lang w:val="en-US"/>
        </w:rPr>
        <w:t>“</w:t>
      </w:r>
      <w:r w:rsidR="008B3A91" w:rsidRPr="0070398F">
        <w:rPr>
          <w:lang w:val="en-US"/>
        </w:rPr>
        <w:t xml:space="preserve">Al </w:t>
      </w:r>
      <w:proofErr w:type="spellStart"/>
      <w:r w:rsidR="008B3A91" w:rsidRPr="0070398F">
        <w:rPr>
          <w:lang w:val="en-US"/>
        </w:rPr>
        <w:t>Hilal</w:t>
      </w:r>
      <w:proofErr w:type="spellEnd"/>
      <w:r w:rsidR="00166443" w:rsidRPr="0070398F">
        <w:rPr>
          <w:lang w:val="en-US"/>
        </w:rPr>
        <w:t>” Islamic Bank JSC</w:t>
      </w:r>
      <w:r w:rsidR="00675959" w:rsidRPr="0070398F">
        <w:rPr>
          <w:lang w:val="en-US"/>
        </w:rPr>
        <w:t xml:space="preserve">, </w:t>
      </w:r>
      <w:r w:rsidR="00166443" w:rsidRPr="0070398F">
        <w:rPr>
          <w:lang w:val="en-US"/>
        </w:rPr>
        <w:t xml:space="preserve">a seal with </w:t>
      </w:r>
      <w:r w:rsidR="009D3516">
        <w:rPr>
          <w:lang w:val="en-US"/>
        </w:rPr>
        <w:t>its</w:t>
      </w:r>
      <w:r w:rsidR="00166443" w:rsidRPr="0070398F">
        <w:rPr>
          <w:lang w:val="en-US"/>
        </w:rPr>
        <w:t xml:space="preserve"> name in English, Arabic, French and Kazakh</w:t>
      </w:r>
      <w:r w:rsidR="00675959" w:rsidRPr="0070398F">
        <w:rPr>
          <w:lang w:val="en-US"/>
        </w:rPr>
        <w:t>.</w:t>
      </w:r>
    </w:p>
    <w:p w:rsidR="0090474C" w:rsidRPr="0070398F" w:rsidRDefault="00C91880" w:rsidP="007D73B8">
      <w:pPr>
        <w:spacing w:before="120" w:after="120"/>
        <w:jc w:val="both"/>
        <w:rPr>
          <w:rStyle w:val="af7"/>
          <w:b w:val="0"/>
          <w:bCs w:val="0"/>
          <w:lang w:val="en-US"/>
        </w:rPr>
      </w:pPr>
      <w:r w:rsidRPr="0070398F">
        <w:rPr>
          <w:rStyle w:val="af7"/>
          <w:b w:val="0"/>
          <w:lang w:val="en-US"/>
        </w:rPr>
        <w:t>T</w:t>
      </w:r>
      <w:r w:rsidR="00915F49" w:rsidRPr="0070398F">
        <w:rPr>
          <w:rStyle w:val="af7"/>
          <w:b w:val="0"/>
          <w:lang w:val="en-US"/>
        </w:rPr>
        <w:t>he Organization’s</w:t>
      </w:r>
      <w:r w:rsidR="007D73B8" w:rsidRPr="0070398F">
        <w:rPr>
          <w:rStyle w:val="af7"/>
          <w:b w:val="0"/>
          <w:lang w:val="en-US"/>
        </w:rPr>
        <w:t xml:space="preserve"> </w:t>
      </w:r>
      <w:r w:rsidRPr="0070398F">
        <w:rPr>
          <w:rStyle w:val="af7"/>
          <w:b w:val="0"/>
          <w:lang w:val="en-US"/>
        </w:rPr>
        <w:t xml:space="preserve">staff consists of </w:t>
      </w:r>
      <w:r w:rsidR="00360DE8" w:rsidRPr="0070398F">
        <w:rPr>
          <w:rStyle w:val="af7"/>
          <w:b w:val="0"/>
          <w:lang w:val="en-US"/>
        </w:rPr>
        <w:t>the citizens of Member States and is recognized as international workforce</w:t>
      </w:r>
      <w:r w:rsidR="007D73B8" w:rsidRPr="0070398F">
        <w:rPr>
          <w:rStyle w:val="af7"/>
          <w:b w:val="0"/>
          <w:lang w:val="en-US"/>
        </w:rPr>
        <w:t>.</w:t>
      </w:r>
      <w:r w:rsidR="00360DE8" w:rsidRPr="0070398F">
        <w:rPr>
          <w:rStyle w:val="af7"/>
          <w:b w:val="0"/>
          <w:lang w:val="en-US"/>
        </w:rPr>
        <w:t xml:space="preserve"> For the entire term of office, a member of the </w:t>
      </w:r>
      <w:r w:rsidR="00915F49" w:rsidRPr="0070398F">
        <w:rPr>
          <w:rStyle w:val="af7"/>
          <w:b w:val="0"/>
          <w:lang w:val="en-US"/>
        </w:rPr>
        <w:t>Organization’s</w:t>
      </w:r>
      <w:r w:rsidR="00360DE8" w:rsidRPr="0070398F">
        <w:rPr>
          <w:rStyle w:val="af7"/>
          <w:b w:val="0"/>
          <w:lang w:val="en-US"/>
        </w:rPr>
        <w:t xml:space="preserve"> staff shall act in line with the </w:t>
      </w:r>
      <w:r w:rsidR="00915F49" w:rsidRPr="0070398F">
        <w:rPr>
          <w:rStyle w:val="af7"/>
          <w:b w:val="0"/>
          <w:lang w:val="en-US"/>
        </w:rPr>
        <w:t>Organization’s</w:t>
      </w:r>
      <w:r w:rsidR="00360DE8" w:rsidRPr="0070398F">
        <w:rPr>
          <w:rStyle w:val="af7"/>
          <w:b w:val="0"/>
          <w:lang w:val="en-US"/>
        </w:rPr>
        <w:t xml:space="preserve"> goals and objectives</w:t>
      </w:r>
      <w:r w:rsidR="007D73B8" w:rsidRPr="0070398F">
        <w:rPr>
          <w:rStyle w:val="af7"/>
          <w:b w:val="0"/>
          <w:lang w:val="en-US"/>
        </w:rPr>
        <w:t>.</w:t>
      </w:r>
      <w:r w:rsidR="00360DE8" w:rsidRPr="0070398F">
        <w:rPr>
          <w:rStyle w:val="af7"/>
          <w:b w:val="0"/>
          <w:lang w:val="en-US"/>
        </w:rPr>
        <w:t xml:space="preserve"> A number of</w:t>
      </w:r>
      <w:r w:rsidR="007D73B8" w:rsidRPr="0070398F">
        <w:rPr>
          <w:rStyle w:val="af7"/>
          <w:b w:val="0"/>
          <w:lang w:val="en-US"/>
        </w:rPr>
        <w:t xml:space="preserve"> </w:t>
      </w:r>
      <w:r w:rsidR="00915F49" w:rsidRPr="0070398F">
        <w:rPr>
          <w:rStyle w:val="af7"/>
          <w:b w:val="0"/>
          <w:lang w:val="en-US"/>
        </w:rPr>
        <w:t>the Organization’s</w:t>
      </w:r>
      <w:r w:rsidR="007D73B8" w:rsidRPr="0070398F">
        <w:rPr>
          <w:rStyle w:val="af7"/>
          <w:b w:val="0"/>
          <w:lang w:val="en-US"/>
        </w:rPr>
        <w:t xml:space="preserve"> </w:t>
      </w:r>
      <w:r w:rsidR="00360DE8" w:rsidRPr="0070398F">
        <w:rPr>
          <w:rStyle w:val="af7"/>
          <w:b w:val="0"/>
          <w:lang w:val="en-US"/>
        </w:rPr>
        <w:t>employees is approved according to the manning table</w:t>
      </w:r>
      <w:r w:rsidR="007D73B8" w:rsidRPr="0070398F">
        <w:rPr>
          <w:rStyle w:val="af7"/>
          <w:b w:val="0"/>
          <w:lang w:val="en-US"/>
        </w:rPr>
        <w:t>.</w:t>
      </w:r>
    </w:p>
    <w:p w:rsidR="00466D8C" w:rsidRPr="0070398F" w:rsidRDefault="00675959" w:rsidP="000B0DF3">
      <w:pPr>
        <w:spacing w:before="120" w:after="120"/>
        <w:jc w:val="both"/>
        <w:rPr>
          <w:b/>
          <w:lang w:val="en-US"/>
        </w:rPr>
      </w:pPr>
      <w:r w:rsidRPr="0070398F">
        <w:rPr>
          <w:rStyle w:val="af7"/>
          <w:lang w:val="en-US"/>
        </w:rPr>
        <w:t>1.1.</w:t>
      </w:r>
      <w:r w:rsidR="000B6592" w:rsidRPr="0070398F">
        <w:rPr>
          <w:rStyle w:val="af7"/>
          <w:lang w:val="en-US"/>
        </w:rPr>
        <w:t>5</w:t>
      </w:r>
      <w:r w:rsidRPr="0070398F">
        <w:rPr>
          <w:rStyle w:val="af7"/>
          <w:lang w:val="en-US"/>
        </w:rPr>
        <w:t xml:space="preserve">. </w:t>
      </w:r>
      <w:r w:rsidR="00360DE8" w:rsidRPr="0070398F">
        <w:rPr>
          <w:rStyle w:val="af7"/>
          <w:lang w:val="en-US"/>
        </w:rPr>
        <w:t>The Body authorized to perform managerial functions</w:t>
      </w:r>
      <w:r w:rsidR="00466D8C" w:rsidRPr="0070398F">
        <w:rPr>
          <w:rStyle w:val="af7"/>
          <w:lang w:val="en-US"/>
        </w:rPr>
        <w:t>:</w:t>
      </w:r>
    </w:p>
    <w:p w:rsidR="00360DE8" w:rsidRPr="0070398F" w:rsidRDefault="00360DE8" w:rsidP="00466D8C">
      <w:pPr>
        <w:spacing w:before="120" w:after="120"/>
        <w:jc w:val="both"/>
        <w:rPr>
          <w:lang w:val="en-US"/>
        </w:rPr>
      </w:pPr>
      <w:r w:rsidRPr="0070398F">
        <w:rPr>
          <w:lang w:val="en-US"/>
        </w:rPr>
        <w:t xml:space="preserve">The Director General is responsible for the formation of the accounting </w:t>
      </w:r>
      <w:r w:rsidR="0009675A">
        <w:rPr>
          <w:lang w:val="en-US"/>
        </w:rPr>
        <w:t>regulations</w:t>
      </w:r>
      <w:r w:rsidRPr="0070398F">
        <w:rPr>
          <w:lang w:val="en-US"/>
        </w:rPr>
        <w:t>, accounting record-keeping, prompt submission of true and complete financial statements.</w:t>
      </w:r>
    </w:p>
    <w:p w:rsidR="00360DE8" w:rsidRPr="0070398F" w:rsidRDefault="00360DE8" w:rsidP="00675959">
      <w:pPr>
        <w:spacing w:before="120" w:after="120"/>
        <w:jc w:val="both"/>
        <w:rPr>
          <w:lang w:val="en-US"/>
        </w:rPr>
      </w:pPr>
      <w:r w:rsidRPr="0070398F">
        <w:rPr>
          <w:lang w:val="en-US"/>
        </w:rPr>
        <w:t xml:space="preserve">The Director General delegates authorities to the Manager (Advisor) of </w:t>
      </w:r>
      <w:r w:rsidR="008846D8" w:rsidRPr="0070398F">
        <w:rPr>
          <w:lang w:val="en-US"/>
        </w:rPr>
        <w:t>a</w:t>
      </w:r>
      <w:r w:rsidR="00F93AC9" w:rsidRPr="0070398F">
        <w:rPr>
          <w:lang w:val="en-US"/>
        </w:rPr>
        <w:t xml:space="preserve"> business</w:t>
      </w:r>
      <w:r w:rsidRPr="0070398F">
        <w:rPr>
          <w:lang w:val="en-US"/>
        </w:rPr>
        <w:t xml:space="preserve"> unit for financial resources management (</w:t>
      </w:r>
      <w:r w:rsidR="00F93AC9" w:rsidRPr="0070398F">
        <w:rPr>
          <w:lang w:val="en-US"/>
        </w:rPr>
        <w:t>“F</w:t>
      </w:r>
      <w:r w:rsidRPr="0070398F">
        <w:rPr>
          <w:lang w:val="en-US"/>
        </w:rPr>
        <w:t xml:space="preserve">inancial </w:t>
      </w:r>
      <w:r w:rsidR="00F93AC9" w:rsidRPr="0070398F">
        <w:rPr>
          <w:lang w:val="en-US"/>
        </w:rPr>
        <w:t>S</w:t>
      </w:r>
      <w:r w:rsidRPr="0070398F">
        <w:rPr>
          <w:lang w:val="en-US"/>
        </w:rPr>
        <w:t>ervice</w:t>
      </w:r>
      <w:r w:rsidR="00F93AC9" w:rsidRPr="0070398F">
        <w:rPr>
          <w:lang w:val="en-US"/>
        </w:rPr>
        <w:t>”</w:t>
      </w:r>
      <w:r w:rsidRPr="0070398F">
        <w:rPr>
          <w:lang w:val="en-US"/>
        </w:rPr>
        <w:t xml:space="preserve">) and an authorized accountant, who make decisions </w:t>
      </w:r>
      <w:r w:rsidR="00F93AC9" w:rsidRPr="0070398F">
        <w:rPr>
          <w:lang w:val="en-US"/>
        </w:rPr>
        <w:lastRenderedPageBreak/>
        <w:t xml:space="preserve">independently based </w:t>
      </w:r>
      <w:r w:rsidRPr="0070398F">
        <w:rPr>
          <w:lang w:val="en-US"/>
        </w:rPr>
        <w:t xml:space="preserve">on the rules established by the </w:t>
      </w:r>
      <w:r w:rsidR="00F93AC9" w:rsidRPr="0070398F">
        <w:rPr>
          <w:lang w:val="en-US"/>
        </w:rPr>
        <w:t>A</w:t>
      </w:r>
      <w:r w:rsidRPr="0070398F">
        <w:rPr>
          <w:lang w:val="en-US"/>
        </w:rPr>
        <w:t xml:space="preserve">ccounting </w:t>
      </w:r>
      <w:r w:rsidR="0009675A">
        <w:rPr>
          <w:lang w:val="en-US"/>
        </w:rPr>
        <w:t>Regulations</w:t>
      </w:r>
      <w:r w:rsidRPr="0070398F">
        <w:rPr>
          <w:lang w:val="en-US"/>
        </w:rPr>
        <w:t xml:space="preserve"> and professional judgment on the formation of financial reporting indicators, including classification, recognition, </w:t>
      </w:r>
      <w:r w:rsidR="00F93AC9" w:rsidRPr="0070398F">
        <w:rPr>
          <w:lang w:val="en-US"/>
        </w:rPr>
        <w:t>valuation</w:t>
      </w:r>
      <w:r w:rsidRPr="0070398F">
        <w:rPr>
          <w:lang w:val="en-US"/>
        </w:rPr>
        <w:t xml:space="preserve"> and calculation of elements of financial statements and their components, as well as the disclosure of related information.</w:t>
      </w:r>
    </w:p>
    <w:p w:rsidR="003821AF" w:rsidRPr="0070398F" w:rsidRDefault="00F93AC9" w:rsidP="003821AF">
      <w:pPr>
        <w:spacing w:before="120" w:after="120"/>
        <w:jc w:val="both"/>
        <w:rPr>
          <w:b/>
          <w:lang w:val="en-US"/>
        </w:rPr>
      </w:pPr>
      <w:r w:rsidRPr="0070398F">
        <w:rPr>
          <w:b/>
          <w:lang w:val="en-US"/>
        </w:rPr>
        <w:t>Job duties of the Director General</w:t>
      </w:r>
      <w:r w:rsidR="003821AF" w:rsidRPr="0070398F">
        <w:rPr>
          <w:b/>
          <w:lang w:val="en-US"/>
        </w:rPr>
        <w:t>:</w:t>
      </w:r>
    </w:p>
    <w:p w:rsidR="007A2384" w:rsidRPr="0070398F" w:rsidRDefault="007A2384" w:rsidP="007A2384">
      <w:pPr>
        <w:spacing w:before="60" w:after="60"/>
        <w:jc w:val="both"/>
        <w:rPr>
          <w:lang w:val="en-US"/>
        </w:rPr>
      </w:pPr>
      <w:r w:rsidRPr="0070398F">
        <w:rPr>
          <w:lang w:val="en-US"/>
        </w:rPr>
        <w:t xml:space="preserve">(a) appoint the Secretariat staff and monitor the implementation of the job descriptions </w:t>
      </w:r>
      <w:r w:rsidR="00AC7A4E">
        <w:rPr>
          <w:lang w:val="en-US"/>
        </w:rPr>
        <w:t>of</w:t>
      </w:r>
      <w:r w:rsidRPr="0070398F">
        <w:rPr>
          <w:lang w:val="en-US"/>
        </w:rPr>
        <w:t xml:space="preserve"> employees;</w:t>
      </w:r>
    </w:p>
    <w:p w:rsidR="007A2384" w:rsidRPr="0070398F" w:rsidRDefault="007A2384" w:rsidP="007A2384">
      <w:pPr>
        <w:spacing w:before="60" w:after="60"/>
        <w:jc w:val="both"/>
        <w:rPr>
          <w:lang w:val="en-US"/>
        </w:rPr>
      </w:pPr>
      <w:r w:rsidRPr="0070398F">
        <w:rPr>
          <w:lang w:val="en-US"/>
        </w:rPr>
        <w:t>(b) supervise the activities of the Secretariat;</w:t>
      </w:r>
    </w:p>
    <w:p w:rsidR="007A2384" w:rsidRPr="0070398F" w:rsidRDefault="007A2384" w:rsidP="007A2384">
      <w:pPr>
        <w:spacing w:before="60" w:after="60"/>
        <w:jc w:val="both"/>
        <w:rPr>
          <w:lang w:val="en-US"/>
        </w:rPr>
      </w:pPr>
      <w:r w:rsidRPr="0070398F">
        <w:rPr>
          <w:lang w:val="en-US"/>
        </w:rPr>
        <w:t>(c) prepare an annual report on the budget and consolidated closing account;</w:t>
      </w:r>
    </w:p>
    <w:p w:rsidR="007A2384" w:rsidRPr="0070398F" w:rsidRDefault="007A2384" w:rsidP="007A2384">
      <w:pPr>
        <w:spacing w:before="60" w:after="60"/>
        <w:jc w:val="both"/>
        <w:rPr>
          <w:lang w:val="en-US"/>
        </w:rPr>
      </w:pPr>
      <w:r w:rsidRPr="0070398F">
        <w:rPr>
          <w:lang w:val="en-US"/>
        </w:rPr>
        <w:t xml:space="preserve">(d) submit </w:t>
      </w:r>
      <w:r w:rsidR="00AC7A4E" w:rsidRPr="0070398F">
        <w:rPr>
          <w:lang w:val="en-US"/>
        </w:rPr>
        <w:t>the Secretariat</w:t>
      </w:r>
      <w:r w:rsidR="00AC7A4E">
        <w:rPr>
          <w:lang w:val="en-US"/>
        </w:rPr>
        <w:t>’s</w:t>
      </w:r>
      <w:r w:rsidR="00AC7A4E" w:rsidRPr="0070398F">
        <w:rPr>
          <w:lang w:val="en-US"/>
        </w:rPr>
        <w:t xml:space="preserve"> </w:t>
      </w:r>
      <w:r w:rsidRPr="0070398F">
        <w:rPr>
          <w:lang w:val="en-US"/>
        </w:rPr>
        <w:t>annual performance report to the Executive Board;</w:t>
      </w:r>
    </w:p>
    <w:p w:rsidR="007A2384" w:rsidRPr="0070398F" w:rsidRDefault="007A2384" w:rsidP="007A2384">
      <w:pPr>
        <w:spacing w:before="60" w:after="60"/>
        <w:jc w:val="both"/>
        <w:rPr>
          <w:lang w:val="en-US"/>
        </w:rPr>
      </w:pPr>
      <w:r w:rsidRPr="0070398F">
        <w:rPr>
          <w:lang w:val="en-US"/>
        </w:rPr>
        <w:t xml:space="preserve">(e) be responsible for the Organization’s funds and spending </w:t>
      </w:r>
      <w:r w:rsidR="0089150A" w:rsidRPr="0070398F">
        <w:rPr>
          <w:lang w:val="en-US"/>
        </w:rPr>
        <w:t xml:space="preserve">thereof </w:t>
      </w:r>
      <w:r w:rsidRPr="0070398F">
        <w:rPr>
          <w:lang w:val="en-US"/>
        </w:rPr>
        <w:t xml:space="preserve">in accordance with the </w:t>
      </w:r>
      <w:r w:rsidR="0089150A" w:rsidRPr="0070398F">
        <w:rPr>
          <w:lang w:val="en-US"/>
        </w:rPr>
        <w:t xml:space="preserve">Organization’s </w:t>
      </w:r>
      <w:r w:rsidRPr="0070398F">
        <w:rPr>
          <w:lang w:val="en-US"/>
        </w:rPr>
        <w:t>Financial Rules;</w:t>
      </w:r>
    </w:p>
    <w:p w:rsidR="007A2384" w:rsidRPr="0070398F" w:rsidRDefault="007A2384" w:rsidP="007A2384">
      <w:pPr>
        <w:spacing w:before="60" w:after="60"/>
        <w:jc w:val="both"/>
        <w:rPr>
          <w:lang w:val="en-US"/>
        </w:rPr>
      </w:pPr>
      <w:r w:rsidRPr="0070398F">
        <w:rPr>
          <w:lang w:val="en-US"/>
        </w:rPr>
        <w:t xml:space="preserve">(f) collect, study, interpret, disseminate information on nutrition, </w:t>
      </w:r>
      <w:r w:rsidR="0089150A" w:rsidRPr="0070398F">
        <w:rPr>
          <w:lang w:val="en-US"/>
        </w:rPr>
        <w:t>foods</w:t>
      </w:r>
      <w:r w:rsidRPr="0070398F">
        <w:rPr>
          <w:lang w:val="en-US"/>
        </w:rPr>
        <w:t xml:space="preserve"> and agriculture;</w:t>
      </w:r>
    </w:p>
    <w:p w:rsidR="007A2384" w:rsidRPr="0070398F" w:rsidRDefault="007A2384" w:rsidP="007A2384">
      <w:pPr>
        <w:spacing w:before="60" w:after="60"/>
        <w:jc w:val="both"/>
        <w:rPr>
          <w:lang w:val="en-US"/>
        </w:rPr>
      </w:pPr>
      <w:r w:rsidRPr="0070398F">
        <w:rPr>
          <w:lang w:val="en-US"/>
        </w:rPr>
        <w:t>(g) provide the necessary humanitarian assistance</w:t>
      </w:r>
      <w:r w:rsidR="0089150A" w:rsidRPr="0070398F">
        <w:rPr>
          <w:lang w:val="en-US"/>
        </w:rPr>
        <w:t xml:space="preserve"> and</w:t>
      </w:r>
      <w:r w:rsidRPr="0070398F">
        <w:rPr>
          <w:lang w:val="en-US"/>
        </w:rPr>
        <w:t xml:space="preserve"> participate in humanitarian programs </w:t>
      </w:r>
      <w:r w:rsidR="0089150A" w:rsidRPr="0070398F">
        <w:rPr>
          <w:lang w:val="en-US"/>
        </w:rPr>
        <w:t>under the</w:t>
      </w:r>
      <w:r w:rsidRPr="0070398F">
        <w:rPr>
          <w:lang w:val="en-US"/>
        </w:rPr>
        <w:t xml:space="preserve"> relevant requests and requirements from </w:t>
      </w:r>
      <w:proofErr w:type="spellStart"/>
      <w:r w:rsidR="0089150A" w:rsidRPr="0070398F">
        <w:rPr>
          <w:lang w:val="en-US"/>
        </w:rPr>
        <w:t>OIC</w:t>
      </w:r>
      <w:proofErr w:type="spellEnd"/>
      <w:r w:rsidRPr="0070398F">
        <w:rPr>
          <w:lang w:val="en-US"/>
        </w:rPr>
        <w:t>; and</w:t>
      </w:r>
    </w:p>
    <w:p w:rsidR="007A2384" w:rsidRPr="0070398F" w:rsidRDefault="007A2384" w:rsidP="007A2384">
      <w:pPr>
        <w:spacing w:before="60" w:after="60"/>
        <w:jc w:val="both"/>
        <w:rPr>
          <w:lang w:val="en-US"/>
        </w:rPr>
      </w:pPr>
      <w:r w:rsidRPr="0070398F">
        <w:rPr>
          <w:lang w:val="en-US"/>
        </w:rPr>
        <w:t xml:space="preserve">(h) establish the necessary regional mechanisms to address the food </w:t>
      </w:r>
      <w:r w:rsidR="0089150A" w:rsidRPr="0070398F">
        <w:rPr>
          <w:lang w:val="en-US"/>
        </w:rPr>
        <w:t>issues</w:t>
      </w:r>
      <w:r w:rsidRPr="0070398F">
        <w:rPr>
          <w:lang w:val="en-US"/>
        </w:rPr>
        <w:t xml:space="preserve"> of Member States arising from food shortages, natural and </w:t>
      </w:r>
      <w:r w:rsidR="0089150A" w:rsidRPr="0070398F">
        <w:rPr>
          <w:lang w:val="en-US"/>
        </w:rPr>
        <w:t>man-made</w:t>
      </w:r>
      <w:r w:rsidRPr="0070398F">
        <w:rPr>
          <w:lang w:val="en-US"/>
        </w:rPr>
        <w:t xml:space="preserve"> disasters, droughts and other similar circumstances. </w:t>
      </w:r>
    </w:p>
    <w:p w:rsidR="00675959" w:rsidRPr="0070398F" w:rsidRDefault="00675959" w:rsidP="004F24CC">
      <w:pPr>
        <w:pStyle w:val="2"/>
        <w:spacing w:before="240" w:after="240"/>
        <w:jc w:val="both"/>
        <w:rPr>
          <w:lang w:val="en-US"/>
        </w:rPr>
      </w:pPr>
      <w:r w:rsidRPr="0070398F">
        <w:rPr>
          <w:lang w:val="en-US"/>
        </w:rPr>
        <w:t>1.2.</w:t>
      </w:r>
      <w:r w:rsidR="00625225" w:rsidRPr="0070398F">
        <w:rPr>
          <w:lang w:val="en-US"/>
        </w:rPr>
        <w:t xml:space="preserve"> </w:t>
      </w:r>
      <w:r w:rsidR="0089150A" w:rsidRPr="0070398F">
        <w:rPr>
          <w:lang w:val="en-US"/>
        </w:rPr>
        <w:t>Arrangement of the Accounting (Financial) Service</w:t>
      </w:r>
      <w:r w:rsidR="00625225" w:rsidRPr="0070398F">
        <w:rPr>
          <w:lang w:val="en-US"/>
        </w:rPr>
        <w:t xml:space="preserve"> </w:t>
      </w:r>
    </w:p>
    <w:p w:rsidR="00675959" w:rsidRPr="0070398F" w:rsidRDefault="00AC7A4E" w:rsidP="00675959">
      <w:pPr>
        <w:spacing w:before="120" w:after="120"/>
        <w:jc w:val="both"/>
        <w:rPr>
          <w:rStyle w:val="af7"/>
          <w:lang w:val="en-US"/>
        </w:rPr>
      </w:pPr>
      <w:r w:rsidRPr="0070398F">
        <w:rPr>
          <w:rStyle w:val="af7"/>
          <w:lang w:val="en-US"/>
        </w:rPr>
        <w:t xml:space="preserve">1.2.1. </w:t>
      </w:r>
      <w:r>
        <w:rPr>
          <w:rStyle w:val="af7"/>
          <w:lang w:val="en-US"/>
        </w:rPr>
        <w:t>T</w:t>
      </w:r>
      <w:r w:rsidRPr="0070398F">
        <w:rPr>
          <w:rStyle w:val="af7"/>
          <w:lang w:val="en-US"/>
        </w:rPr>
        <w:t xml:space="preserve">he principles for </w:t>
      </w:r>
      <w:r>
        <w:rPr>
          <w:rStyle w:val="af7"/>
          <w:lang w:val="en-US"/>
        </w:rPr>
        <w:t xml:space="preserve">the </w:t>
      </w:r>
      <w:r w:rsidRPr="0070398F">
        <w:rPr>
          <w:rStyle w:val="af7"/>
          <w:lang w:val="en-US"/>
        </w:rPr>
        <w:t>preparation and presentation of financial statements</w:t>
      </w:r>
    </w:p>
    <w:p w:rsidR="00C32BD5" w:rsidRPr="0070398F" w:rsidRDefault="00C32BD5" w:rsidP="000B0DF3">
      <w:pPr>
        <w:spacing w:before="60" w:after="60"/>
        <w:jc w:val="both"/>
        <w:rPr>
          <w:lang w:val="en-US"/>
        </w:rPr>
      </w:pPr>
      <w:r w:rsidRPr="0070398F">
        <w:rPr>
          <w:lang w:val="en-US"/>
        </w:rPr>
        <w:t>The conceptual basis for the preparation and presentation of financial statements are two fundamental principles: accrual method and business continuity; and the main qualitative characteristics of financial statements</w:t>
      </w:r>
      <w:r w:rsidR="008846D8" w:rsidRPr="0070398F">
        <w:rPr>
          <w:lang w:val="en-US"/>
        </w:rPr>
        <w:t>, such as</w:t>
      </w:r>
      <w:r w:rsidRPr="0070398F">
        <w:rPr>
          <w:lang w:val="en-US"/>
        </w:rPr>
        <w:t xml:space="preserve"> comprehensibility, relevance (significance), reliability (</w:t>
      </w:r>
      <w:r w:rsidR="008846D8" w:rsidRPr="0070398F">
        <w:rPr>
          <w:lang w:val="en-US"/>
        </w:rPr>
        <w:t>fairness</w:t>
      </w:r>
      <w:r w:rsidRPr="0070398F">
        <w:rPr>
          <w:lang w:val="en-US"/>
        </w:rPr>
        <w:t xml:space="preserve">), prudence, </w:t>
      </w:r>
      <w:r w:rsidR="008846D8" w:rsidRPr="0070398F">
        <w:rPr>
          <w:lang w:val="en-US"/>
        </w:rPr>
        <w:t>full disclosure</w:t>
      </w:r>
      <w:r w:rsidRPr="0070398F">
        <w:rPr>
          <w:lang w:val="en-US"/>
        </w:rPr>
        <w:t xml:space="preserve"> (completeness), comparability, timeliness, </w:t>
      </w:r>
      <w:r w:rsidR="008846D8" w:rsidRPr="0070398F">
        <w:rPr>
          <w:lang w:val="en-US"/>
        </w:rPr>
        <w:t xml:space="preserve">a </w:t>
      </w:r>
      <w:r w:rsidRPr="0070398F">
        <w:rPr>
          <w:lang w:val="en-US"/>
        </w:rPr>
        <w:t>balance between qualitative characteristics.</w:t>
      </w:r>
    </w:p>
    <w:p w:rsidR="008846D8" w:rsidRPr="0070398F" w:rsidRDefault="00675959" w:rsidP="00123821">
      <w:pPr>
        <w:spacing w:before="240" w:after="120"/>
        <w:jc w:val="both"/>
        <w:rPr>
          <w:rStyle w:val="af7"/>
          <w:lang w:val="en-US"/>
        </w:rPr>
      </w:pPr>
      <w:r w:rsidRPr="0070398F">
        <w:rPr>
          <w:rStyle w:val="af7"/>
          <w:lang w:val="en-US"/>
        </w:rPr>
        <w:t xml:space="preserve">1.2.2. </w:t>
      </w:r>
      <w:r w:rsidR="008846D8" w:rsidRPr="0070398F">
        <w:rPr>
          <w:rStyle w:val="af7"/>
          <w:lang w:val="en-US"/>
        </w:rPr>
        <w:t>Accounting is maintained by an independent business unit for financial resources management (“Financial Service”).</w:t>
      </w:r>
    </w:p>
    <w:p w:rsidR="008846D8" w:rsidRPr="0070398F" w:rsidRDefault="008846D8" w:rsidP="008846D8">
      <w:pPr>
        <w:spacing w:before="120" w:after="120"/>
        <w:jc w:val="both"/>
        <w:rPr>
          <w:lang w:val="en-US"/>
        </w:rPr>
      </w:pPr>
      <w:r w:rsidRPr="0070398F">
        <w:rPr>
          <w:lang w:val="en-US"/>
        </w:rPr>
        <w:t>The job duties of Financial Service employees are regulated by job descriptions.</w:t>
      </w:r>
    </w:p>
    <w:p w:rsidR="008846D8" w:rsidRPr="0070398F" w:rsidRDefault="008846D8" w:rsidP="008846D8">
      <w:pPr>
        <w:spacing w:before="120" w:after="120"/>
        <w:jc w:val="both"/>
        <w:rPr>
          <w:lang w:val="en-US"/>
        </w:rPr>
      </w:pPr>
      <w:r w:rsidRPr="0070398F">
        <w:rPr>
          <w:lang w:val="en-US"/>
        </w:rPr>
        <w:t>The Organization’s overall accounting system is divided into:</w:t>
      </w:r>
    </w:p>
    <w:p w:rsidR="008846D8" w:rsidRPr="0070398F" w:rsidRDefault="008846D8" w:rsidP="008846D8">
      <w:pPr>
        <w:spacing w:before="120" w:after="120"/>
        <w:jc w:val="both"/>
        <w:rPr>
          <w:lang w:val="en-US"/>
        </w:rPr>
      </w:pPr>
      <w:r w:rsidRPr="0070398F">
        <w:rPr>
          <w:lang w:val="en-US"/>
        </w:rPr>
        <w:t>– financial accounting reflected in the accounts of the Operating Chart of Accounts according to IFRS where income and expenses from the Organization’s activities are generated;</w:t>
      </w:r>
    </w:p>
    <w:p w:rsidR="008846D8" w:rsidRPr="0070398F" w:rsidRDefault="008846D8" w:rsidP="008846D8">
      <w:pPr>
        <w:spacing w:before="120" w:after="120"/>
        <w:jc w:val="both"/>
        <w:rPr>
          <w:lang w:val="en-US"/>
        </w:rPr>
      </w:pPr>
      <w:r w:rsidRPr="0070398F">
        <w:rPr>
          <w:lang w:val="en-US"/>
        </w:rPr>
        <w:t>– tax accounting formed on the basis of the results of financial accounting in accordance with</w:t>
      </w:r>
      <w:r w:rsidR="00F07EE7" w:rsidRPr="0070398F">
        <w:rPr>
          <w:lang w:val="en-US"/>
        </w:rPr>
        <w:t xml:space="preserve"> the</w:t>
      </w:r>
      <w:r w:rsidRPr="0070398F">
        <w:rPr>
          <w:lang w:val="en-US"/>
        </w:rPr>
        <w:t xml:space="preserve"> tax </w:t>
      </w:r>
      <w:r w:rsidR="00F07EE7" w:rsidRPr="0070398F">
        <w:rPr>
          <w:lang w:val="en-US"/>
        </w:rPr>
        <w:t>laws, it</w:t>
      </w:r>
      <w:r w:rsidRPr="0070398F">
        <w:rPr>
          <w:lang w:val="en-US"/>
        </w:rPr>
        <w:t xml:space="preserve"> does not provide for alternative accounting methods; and</w:t>
      </w:r>
    </w:p>
    <w:p w:rsidR="008846D8" w:rsidRPr="0070398F" w:rsidRDefault="008846D8" w:rsidP="008846D8">
      <w:pPr>
        <w:spacing w:before="120" w:after="120"/>
        <w:jc w:val="both"/>
        <w:rPr>
          <w:lang w:val="en-US"/>
        </w:rPr>
      </w:pPr>
      <w:r w:rsidRPr="0070398F">
        <w:rPr>
          <w:lang w:val="en-US"/>
        </w:rPr>
        <w:t>– manage</w:t>
      </w:r>
      <w:r w:rsidR="00F07EE7" w:rsidRPr="0070398F">
        <w:rPr>
          <w:lang w:val="en-US"/>
        </w:rPr>
        <w:t>rial</w:t>
      </w:r>
      <w:r w:rsidRPr="0070398F">
        <w:rPr>
          <w:lang w:val="en-US"/>
        </w:rPr>
        <w:t xml:space="preserve"> accounting</w:t>
      </w:r>
      <w:r w:rsidR="00F07EE7" w:rsidRPr="0070398F">
        <w:rPr>
          <w:lang w:val="en-US"/>
        </w:rPr>
        <w:t>, which is</w:t>
      </w:r>
      <w:r w:rsidRPr="0070398F">
        <w:rPr>
          <w:lang w:val="en-US"/>
        </w:rPr>
        <w:t xml:space="preserve"> a summary of </w:t>
      </w:r>
      <w:r w:rsidR="00F07EE7" w:rsidRPr="0070398F">
        <w:rPr>
          <w:lang w:val="en-US"/>
        </w:rPr>
        <w:t>data</w:t>
      </w:r>
      <w:r w:rsidRPr="0070398F">
        <w:rPr>
          <w:lang w:val="en-US"/>
        </w:rPr>
        <w:t xml:space="preserve"> compiled </w:t>
      </w:r>
      <w:r w:rsidR="00F07EE7" w:rsidRPr="0070398F">
        <w:rPr>
          <w:lang w:val="en-US"/>
        </w:rPr>
        <w:t>as instructed by</w:t>
      </w:r>
      <w:r w:rsidRPr="0070398F">
        <w:rPr>
          <w:lang w:val="en-US"/>
        </w:rPr>
        <w:t xml:space="preserve"> the Organization’s management, based on financial, </w:t>
      </w:r>
      <w:r w:rsidR="00F07EE7" w:rsidRPr="0070398F">
        <w:rPr>
          <w:lang w:val="en-US"/>
        </w:rPr>
        <w:t>cost</w:t>
      </w:r>
      <w:r w:rsidRPr="0070398F">
        <w:rPr>
          <w:lang w:val="en-US"/>
        </w:rPr>
        <w:t xml:space="preserve">, and tax accounting, </w:t>
      </w:r>
      <w:r w:rsidR="00F07EE7" w:rsidRPr="0070398F">
        <w:rPr>
          <w:lang w:val="en-US"/>
        </w:rPr>
        <w:t>required</w:t>
      </w:r>
      <w:r w:rsidRPr="0070398F">
        <w:rPr>
          <w:lang w:val="en-US"/>
        </w:rPr>
        <w:t xml:space="preserve"> to analyze current and future situations and make effective manage</w:t>
      </w:r>
      <w:r w:rsidR="00F07EE7" w:rsidRPr="0070398F">
        <w:rPr>
          <w:lang w:val="en-US"/>
        </w:rPr>
        <w:t>rial</w:t>
      </w:r>
      <w:r w:rsidRPr="0070398F">
        <w:rPr>
          <w:lang w:val="en-US"/>
        </w:rPr>
        <w:t xml:space="preserve"> decisions.</w:t>
      </w:r>
    </w:p>
    <w:p w:rsidR="00FC0E1D" w:rsidRPr="0070398F" w:rsidRDefault="00675959" w:rsidP="000B0DF3">
      <w:pPr>
        <w:spacing w:before="120" w:after="120"/>
        <w:jc w:val="both"/>
        <w:rPr>
          <w:rStyle w:val="af7"/>
          <w:b w:val="0"/>
          <w:lang w:val="en-US"/>
        </w:rPr>
      </w:pPr>
      <w:r w:rsidRPr="0070398F">
        <w:rPr>
          <w:rStyle w:val="af7"/>
          <w:lang w:val="en-US"/>
        </w:rPr>
        <w:t xml:space="preserve">1.2.3. </w:t>
      </w:r>
      <w:r w:rsidR="00FC0E1D" w:rsidRPr="0070398F">
        <w:rPr>
          <w:rStyle w:val="af7"/>
          <w:lang w:val="en-US"/>
        </w:rPr>
        <w:t xml:space="preserve">Accounting of </w:t>
      </w:r>
      <w:r w:rsidR="00AC7A4E">
        <w:rPr>
          <w:rStyle w:val="af7"/>
          <w:lang w:val="en-US"/>
        </w:rPr>
        <w:t>assets and</w:t>
      </w:r>
      <w:r w:rsidR="00FC0E1D" w:rsidRPr="0070398F">
        <w:rPr>
          <w:rStyle w:val="af7"/>
          <w:lang w:val="en-US"/>
        </w:rPr>
        <w:t xml:space="preserve"> liabilities </w:t>
      </w:r>
      <w:r w:rsidR="00FC0E1D" w:rsidRPr="0070398F">
        <w:rPr>
          <w:rStyle w:val="af7"/>
          <w:b w:val="0"/>
          <w:lang w:val="en-US"/>
        </w:rPr>
        <w:t xml:space="preserve">of business transactions is conducted in KZT and USD using </w:t>
      </w:r>
      <w:r w:rsidR="00FC0E1D" w:rsidRPr="0070398F">
        <w:rPr>
          <w:rStyle w:val="af7"/>
          <w:b w:val="0"/>
          <w:i/>
          <w:lang w:val="en-US"/>
        </w:rPr>
        <w:t>1</w:t>
      </w:r>
      <w:proofErr w:type="gramStart"/>
      <w:r w:rsidR="00E6629E" w:rsidRPr="0070398F">
        <w:rPr>
          <w:rStyle w:val="af7"/>
          <w:b w:val="0"/>
          <w:i/>
          <w:lang w:val="en-US"/>
        </w:rPr>
        <w:t>C</w:t>
      </w:r>
      <w:r w:rsidR="00FC0E1D" w:rsidRPr="0070398F">
        <w:rPr>
          <w:rStyle w:val="af7"/>
          <w:b w:val="0"/>
          <w:i/>
          <w:lang w:val="en-US"/>
        </w:rPr>
        <w:t>:Enterprise</w:t>
      </w:r>
      <w:proofErr w:type="gramEnd"/>
      <w:r w:rsidR="00FC0E1D" w:rsidRPr="0070398F">
        <w:rPr>
          <w:rStyle w:val="af7"/>
          <w:b w:val="0"/>
          <w:lang w:val="en-US"/>
        </w:rPr>
        <w:t xml:space="preserve"> software.</w:t>
      </w:r>
    </w:p>
    <w:p w:rsidR="00325294" w:rsidRPr="0070398F" w:rsidRDefault="00675959" w:rsidP="000B0DF3">
      <w:pPr>
        <w:spacing w:before="120" w:after="120"/>
        <w:jc w:val="both"/>
        <w:rPr>
          <w:lang w:val="en-US"/>
        </w:rPr>
      </w:pPr>
      <w:r w:rsidRPr="0070398F">
        <w:rPr>
          <w:rStyle w:val="af7"/>
          <w:lang w:val="en-US"/>
        </w:rPr>
        <w:t xml:space="preserve">1.2.4. </w:t>
      </w:r>
      <w:r w:rsidR="00FC0E1D" w:rsidRPr="0070398F">
        <w:rPr>
          <w:rStyle w:val="af7"/>
          <w:lang w:val="en-US"/>
        </w:rPr>
        <w:t>Internal and External Control</w:t>
      </w:r>
      <w:r w:rsidR="00325294" w:rsidRPr="0070398F">
        <w:rPr>
          <w:rStyle w:val="af7"/>
          <w:lang w:val="en-US"/>
        </w:rPr>
        <w:t xml:space="preserve"> </w:t>
      </w:r>
    </w:p>
    <w:p w:rsidR="0062434E" w:rsidRPr="0070398F" w:rsidRDefault="0062434E" w:rsidP="000B0DF3">
      <w:pPr>
        <w:spacing w:before="120" w:after="120"/>
        <w:jc w:val="both"/>
        <w:rPr>
          <w:lang w:val="en-US"/>
        </w:rPr>
      </w:pPr>
      <w:r w:rsidRPr="0070398F">
        <w:rPr>
          <w:lang w:val="en-US"/>
        </w:rPr>
        <w:t>Internal and external control is provided i</w:t>
      </w:r>
      <w:r w:rsidR="00386919" w:rsidRPr="0070398F">
        <w:rPr>
          <w:lang w:val="en-US"/>
        </w:rPr>
        <w:t>n accordance with Law of the Republic of Kazakhstan</w:t>
      </w:r>
      <w:r w:rsidR="00325294" w:rsidRPr="0070398F">
        <w:rPr>
          <w:lang w:val="en-US"/>
        </w:rPr>
        <w:t xml:space="preserve"> </w:t>
      </w:r>
      <w:r w:rsidRPr="0070398F">
        <w:rPr>
          <w:lang w:val="en-US"/>
        </w:rPr>
        <w:t>No.</w:t>
      </w:r>
      <w:r w:rsidR="00325294" w:rsidRPr="0070398F">
        <w:rPr>
          <w:lang w:val="en-US"/>
        </w:rPr>
        <w:t xml:space="preserve"> 256-V </w:t>
      </w:r>
      <w:proofErr w:type="spellStart"/>
      <w:r w:rsidRPr="0070398F">
        <w:rPr>
          <w:lang w:val="en-US"/>
        </w:rPr>
        <w:t>ZRK</w:t>
      </w:r>
      <w:proofErr w:type="spellEnd"/>
      <w:r w:rsidRPr="0070398F">
        <w:rPr>
          <w:lang w:val="en-US"/>
        </w:rPr>
        <w:t xml:space="preserve"> dated November 21, 2014</w:t>
      </w:r>
      <w:r w:rsidR="00325294" w:rsidRPr="0070398F">
        <w:rPr>
          <w:lang w:val="en-US"/>
        </w:rPr>
        <w:t xml:space="preserve"> </w:t>
      </w:r>
      <w:r w:rsidRPr="0070398F">
        <w:rPr>
          <w:i/>
          <w:lang w:val="en-US"/>
        </w:rPr>
        <w:t>On Ratification of the Charter of the Islamic</w:t>
      </w:r>
      <w:r w:rsidRPr="0070398F">
        <w:rPr>
          <w:lang w:val="en-US"/>
        </w:rPr>
        <w:t xml:space="preserve"> </w:t>
      </w:r>
      <w:r w:rsidR="00677085">
        <w:rPr>
          <w:i/>
          <w:lang w:val="en-US"/>
        </w:rPr>
        <w:lastRenderedPageBreak/>
        <w:t>Organization</w:t>
      </w:r>
      <w:r w:rsidRPr="0070398F">
        <w:rPr>
          <w:i/>
          <w:lang w:val="en-US"/>
        </w:rPr>
        <w:t xml:space="preserve"> for Food Security</w:t>
      </w:r>
      <w:r w:rsidRPr="0070398F">
        <w:rPr>
          <w:lang w:val="en-US"/>
        </w:rPr>
        <w:t xml:space="preserve"> and Financial Rules of the ISLAMIC </w:t>
      </w:r>
      <w:r w:rsidR="00677085">
        <w:rPr>
          <w:lang w:val="en-US"/>
        </w:rPr>
        <w:t>ORGANIZATION</w:t>
      </w:r>
      <w:r w:rsidRPr="0070398F">
        <w:rPr>
          <w:lang w:val="en-US"/>
        </w:rPr>
        <w:t xml:space="preserve"> FOR FOOD SECURITY approved by Resolution No. GA/5-2016 dated April 28, 2016 adopted at the General Assembly Meeting of the Islamic </w:t>
      </w:r>
      <w:r w:rsidR="00677085">
        <w:rPr>
          <w:lang w:val="en-US"/>
        </w:rPr>
        <w:t>Organization</w:t>
      </w:r>
      <w:r w:rsidRPr="0070398F">
        <w:rPr>
          <w:lang w:val="en-US"/>
        </w:rPr>
        <w:t xml:space="preserve"> for Food Security</w:t>
      </w:r>
    </w:p>
    <w:p w:rsidR="007667BF" w:rsidRPr="0070398F" w:rsidRDefault="007667BF" w:rsidP="007667BF">
      <w:pPr>
        <w:spacing w:before="120" w:after="120"/>
        <w:jc w:val="both"/>
        <w:rPr>
          <w:lang w:val="en-US"/>
        </w:rPr>
      </w:pPr>
      <w:r w:rsidRPr="0070398F">
        <w:rPr>
          <w:lang w:val="en-US"/>
        </w:rPr>
        <w:t>The Executive Board appoints a Financial Control Committee, which consists of representatives from five Member States for a period of three years on an alternating basis to audit the accounting documents of the Organization, and to ensure high-quality management of the Organization’s permanent headquarters and offices. The Committee may engage experts to assist in relevant areas, as appropriate.</w:t>
      </w:r>
    </w:p>
    <w:p w:rsidR="007667BF" w:rsidRPr="0070398F" w:rsidRDefault="007667BF" w:rsidP="007667BF">
      <w:pPr>
        <w:spacing w:before="120" w:after="120"/>
        <w:jc w:val="both"/>
        <w:rPr>
          <w:lang w:val="en-US"/>
        </w:rPr>
      </w:pPr>
      <w:r w:rsidRPr="0070398F">
        <w:rPr>
          <w:lang w:val="en-US"/>
        </w:rPr>
        <w:t>The Financial Control Committee shall submit its report to the Director General, who will forward it to the Executive Board along with his/her comments. The Executive Board shall forward the report to the General Assembly by its next meeting.</w:t>
      </w:r>
    </w:p>
    <w:p w:rsidR="007667BF" w:rsidRPr="0070398F" w:rsidRDefault="007667BF" w:rsidP="007667BF">
      <w:pPr>
        <w:spacing w:before="120" w:after="120"/>
        <w:jc w:val="both"/>
        <w:rPr>
          <w:lang w:val="en-US"/>
        </w:rPr>
      </w:pPr>
      <w:r w:rsidRPr="0070398F">
        <w:rPr>
          <w:lang w:val="en-US"/>
        </w:rPr>
        <w:t xml:space="preserve">The Financial Control Committee may study all relevant accounting documents and request the Executive Board, Director General or employees of the Organization </w:t>
      </w:r>
      <w:r w:rsidR="00232554">
        <w:rPr>
          <w:lang w:val="en-US"/>
        </w:rPr>
        <w:t>to provide</w:t>
      </w:r>
      <w:r w:rsidRPr="0070398F">
        <w:rPr>
          <w:lang w:val="en-US"/>
        </w:rPr>
        <w:t xml:space="preserve"> any information necessary, in its opinion, for the performance of its functions. Accounting documents shall be audited by the Financial Control Committee on an annual basis in order to confirm the budget and </w:t>
      </w:r>
      <w:r w:rsidR="00A8695B" w:rsidRPr="0070398F">
        <w:rPr>
          <w:lang w:val="en-US"/>
        </w:rPr>
        <w:t>statements are correct</w:t>
      </w:r>
      <w:r w:rsidRPr="0070398F">
        <w:rPr>
          <w:lang w:val="en-US"/>
        </w:rPr>
        <w:t>.</w:t>
      </w:r>
    </w:p>
    <w:p w:rsidR="00675959" w:rsidRPr="0070398F" w:rsidRDefault="00675959" w:rsidP="000B0DF3">
      <w:pPr>
        <w:spacing w:before="120" w:after="120"/>
        <w:jc w:val="both"/>
        <w:rPr>
          <w:lang w:val="en-US"/>
        </w:rPr>
      </w:pPr>
      <w:r w:rsidRPr="0070398F">
        <w:rPr>
          <w:rStyle w:val="af7"/>
          <w:lang w:val="en-US"/>
        </w:rPr>
        <w:t xml:space="preserve">1.2.5. </w:t>
      </w:r>
      <w:r w:rsidR="00A8695B" w:rsidRPr="0070398F">
        <w:rPr>
          <w:rStyle w:val="af7"/>
          <w:lang w:val="en-US"/>
        </w:rPr>
        <w:t>T</w:t>
      </w:r>
      <w:r w:rsidR="00915F49" w:rsidRPr="0070398F">
        <w:rPr>
          <w:rStyle w:val="af7"/>
          <w:lang w:val="en-US"/>
        </w:rPr>
        <w:t xml:space="preserve">he </w:t>
      </w:r>
      <w:r w:rsidR="00A8695B" w:rsidRPr="0070398F">
        <w:rPr>
          <w:rStyle w:val="af7"/>
          <w:lang w:val="en-US"/>
        </w:rPr>
        <w:t xml:space="preserve">documents of the </w:t>
      </w:r>
      <w:r w:rsidR="00915F49" w:rsidRPr="0070398F">
        <w:rPr>
          <w:rStyle w:val="af7"/>
          <w:lang w:val="en-US"/>
        </w:rPr>
        <w:t>Organization’s</w:t>
      </w:r>
      <w:r w:rsidR="00A8695B" w:rsidRPr="0070398F">
        <w:rPr>
          <w:rStyle w:val="af7"/>
          <w:lang w:val="en-US"/>
        </w:rPr>
        <w:t xml:space="preserve"> Accounting </w:t>
      </w:r>
      <w:r w:rsidR="0009675A">
        <w:rPr>
          <w:rStyle w:val="af7"/>
          <w:lang w:val="en-US"/>
        </w:rPr>
        <w:t>Regulations</w:t>
      </w:r>
      <w:r w:rsidR="00325294" w:rsidRPr="0070398F">
        <w:rPr>
          <w:rStyle w:val="af7"/>
          <w:lang w:val="en-US"/>
        </w:rPr>
        <w:t xml:space="preserve"> </w:t>
      </w:r>
      <w:r w:rsidR="00A8695B" w:rsidRPr="0070398F">
        <w:rPr>
          <w:lang w:val="en-US"/>
        </w:rPr>
        <w:t xml:space="preserve">are these Accounting </w:t>
      </w:r>
      <w:r w:rsidR="0009675A">
        <w:rPr>
          <w:lang w:val="en-US"/>
        </w:rPr>
        <w:t>Regulations</w:t>
      </w:r>
      <w:r w:rsidRPr="0070398F">
        <w:rPr>
          <w:lang w:val="en-US"/>
        </w:rPr>
        <w:t xml:space="preserve">, </w:t>
      </w:r>
      <w:r w:rsidR="00A8695B" w:rsidRPr="0070398F">
        <w:rPr>
          <w:lang w:val="en-US"/>
        </w:rPr>
        <w:t>a standard chart of accounts approved by Order of the Minister of Finance</w:t>
      </w:r>
      <w:r w:rsidR="000B6592" w:rsidRPr="0070398F">
        <w:rPr>
          <w:lang w:val="en-US"/>
        </w:rPr>
        <w:t xml:space="preserve"> </w:t>
      </w:r>
      <w:r w:rsidR="00386919" w:rsidRPr="0070398F">
        <w:rPr>
          <w:lang w:val="en-US"/>
        </w:rPr>
        <w:t>of the Republic of Kazakhstan</w:t>
      </w:r>
      <w:r w:rsidR="000B6592" w:rsidRPr="0070398F">
        <w:rPr>
          <w:lang w:val="en-US"/>
        </w:rPr>
        <w:t xml:space="preserve"> </w:t>
      </w:r>
      <w:r w:rsidR="00A8695B" w:rsidRPr="0070398F">
        <w:rPr>
          <w:lang w:val="en-US"/>
        </w:rPr>
        <w:t>No.</w:t>
      </w:r>
      <w:r w:rsidR="000B6592" w:rsidRPr="0070398F">
        <w:rPr>
          <w:lang w:val="en-US"/>
        </w:rPr>
        <w:t xml:space="preserve"> 877</w:t>
      </w:r>
      <w:r w:rsidR="00A8695B" w:rsidRPr="0070398F">
        <w:rPr>
          <w:lang w:val="en-US"/>
        </w:rPr>
        <w:t xml:space="preserve"> dated October 2, 2018</w:t>
      </w:r>
      <w:r w:rsidR="000B6592" w:rsidRPr="0070398F">
        <w:rPr>
          <w:lang w:val="en-US"/>
        </w:rPr>
        <w:t xml:space="preserve">, </w:t>
      </w:r>
      <w:r w:rsidR="00A8695B" w:rsidRPr="0070398F">
        <w:rPr>
          <w:lang w:val="en-US"/>
        </w:rPr>
        <w:t>and</w:t>
      </w:r>
      <w:r w:rsidR="008B536B" w:rsidRPr="0070398F">
        <w:rPr>
          <w:lang w:val="en-US"/>
        </w:rPr>
        <w:t xml:space="preserve"> </w:t>
      </w:r>
      <w:r w:rsidR="00915F49" w:rsidRPr="0070398F">
        <w:rPr>
          <w:lang w:val="en-US"/>
        </w:rPr>
        <w:t>the Organization’s</w:t>
      </w:r>
      <w:r w:rsidR="00A8695B" w:rsidRPr="0070398F">
        <w:rPr>
          <w:lang w:val="en-US"/>
        </w:rPr>
        <w:t xml:space="preserve"> Financial Rules approved by Resolution No. GA/5-2016 dated April 28, 2016 adopted at the General Assembly Meeting of the Islamic </w:t>
      </w:r>
      <w:r w:rsidR="00677085">
        <w:rPr>
          <w:lang w:val="en-US"/>
        </w:rPr>
        <w:t>Organization</w:t>
      </w:r>
      <w:r w:rsidR="00A8695B" w:rsidRPr="0070398F">
        <w:rPr>
          <w:lang w:val="en-US"/>
        </w:rPr>
        <w:t xml:space="preserve"> for Food Security</w:t>
      </w:r>
      <w:r w:rsidR="00A046D4" w:rsidRPr="0070398F">
        <w:rPr>
          <w:lang w:val="en-US"/>
        </w:rPr>
        <w:t>.</w:t>
      </w:r>
    </w:p>
    <w:p w:rsidR="00675959" w:rsidRPr="0070398F" w:rsidRDefault="00675959" w:rsidP="004F24CC">
      <w:pPr>
        <w:pStyle w:val="2"/>
        <w:spacing w:before="240" w:after="240"/>
        <w:jc w:val="both"/>
        <w:rPr>
          <w:lang w:val="en-US"/>
        </w:rPr>
      </w:pPr>
      <w:r w:rsidRPr="0070398F">
        <w:rPr>
          <w:lang w:val="en-US"/>
        </w:rPr>
        <w:t xml:space="preserve">1.3. </w:t>
      </w:r>
      <w:r w:rsidR="00A8695B" w:rsidRPr="0070398F">
        <w:rPr>
          <w:lang w:val="en-US"/>
        </w:rPr>
        <w:t>Accounting Documents</w:t>
      </w:r>
    </w:p>
    <w:p w:rsidR="00FB3669" w:rsidRPr="0070398F" w:rsidRDefault="00A046D4" w:rsidP="00675959">
      <w:pPr>
        <w:spacing w:before="120" w:after="120"/>
        <w:jc w:val="both"/>
        <w:rPr>
          <w:lang w:val="en-US"/>
        </w:rPr>
      </w:pPr>
      <w:r w:rsidRPr="0070398F">
        <w:rPr>
          <w:b/>
          <w:bCs/>
          <w:lang w:val="en-US"/>
        </w:rPr>
        <w:t>1.3.1</w:t>
      </w:r>
      <w:r w:rsidRPr="0070398F">
        <w:rPr>
          <w:lang w:val="en-US"/>
        </w:rPr>
        <w:t xml:space="preserve"> </w:t>
      </w:r>
      <w:r w:rsidR="00232554">
        <w:rPr>
          <w:lang w:val="en-US"/>
        </w:rPr>
        <w:t>In order to</w:t>
      </w:r>
      <w:r w:rsidR="00FB3669" w:rsidRPr="0070398F">
        <w:rPr>
          <w:lang w:val="en-US"/>
        </w:rPr>
        <w:t xml:space="preserve"> document the facts of economic activit</w:t>
      </w:r>
      <w:r w:rsidR="00232554">
        <w:rPr>
          <w:lang w:val="en-US"/>
        </w:rPr>
        <w:t>ies,</w:t>
      </w:r>
      <w:r w:rsidR="00FB3669" w:rsidRPr="0070398F">
        <w:rPr>
          <w:lang w:val="en-US"/>
        </w:rPr>
        <w:t xml:space="preserve"> the Organization uses the </w:t>
      </w:r>
      <w:r w:rsidR="00E6629E" w:rsidRPr="0070398F">
        <w:rPr>
          <w:lang w:val="en-US"/>
        </w:rPr>
        <w:t xml:space="preserve">Standard Forms of Source Documents </w:t>
      </w:r>
      <w:r w:rsidR="00FB3669" w:rsidRPr="0070398F">
        <w:rPr>
          <w:lang w:val="en-US"/>
        </w:rPr>
        <w:t xml:space="preserve">approved by </w:t>
      </w:r>
      <w:r w:rsidR="00E6629E" w:rsidRPr="0070398F">
        <w:rPr>
          <w:lang w:val="en-US"/>
        </w:rPr>
        <w:t>O</w:t>
      </w:r>
      <w:r w:rsidR="00FB3669" w:rsidRPr="0070398F">
        <w:rPr>
          <w:lang w:val="en-US"/>
        </w:rPr>
        <w:t xml:space="preserve">rder of the Ministry of Finance of the Republic of Kazakhstan </w:t>
      </w:r>
      <w:r w:rsidR="00E6629E" w:rsidRPr="0070398F">
        <w:rPr>
          <w:lang w:val="en-US"/>
        </w:rPr>
        <w:t xml:space="preserve">No. 562 </w:t>
      </w:r>
      <w:r w:rsidR="00FB3669" w:rsidRPr="0070398F">
        <w:rPr>
          <w:lang w:val="en-US"/>
        </w:rPr>
        <w:t xml:space="preserve">dated December 20, 2012, and the forms of </w:t>
      </w:r>
      <w:r w:rsidR="00232554">
        <w:rPr>
          <w:lang w:val="en-US"/>
        </w:rPr>
        <w:t>source</w:t>
      </w:r>
      <w:r w:rsidR="00FB3669" w:rsidRPr="0070398F">
        <w:rPr>
          <w:lang w:val="en-US"/>
        </w:rPr>
        <w:t xml:space="preserve"> documents provided for in the </w:t>
      </w:r>
      <w:r w:rsidR="00FB3669" w:rsidRPr="0070398F">
        <w:rPr>
          <w:i/>
          <w:lang w:val="en-US"/>
        </w:rPr>
        <w:t>1</w:t>
      </w:r>
      <w:proofErr w:type="gramStart"/>
      <w:r w:rsidR="00E6629E" w:rsidRPr="0070398F">
        <w:rPr>
          <w:i/>
          <w:lang w:val="en-US"/>
        </w:rPr>
        <w:t>C</w:t>
      </w:r>
      <w:r w:rsidR="00FB3669" w:rsidRPr="0070398F">
        <w:rPr>
          <w:i/>
          <w:lang w:val="en-US"/>
        </w:rPr>
        <w:t>:Enterprise</w:t>
      </w:r>
      <w:proofErr w:type="gramEnd"/>
      <w:r w:rsidR="00FB3669" w:rsidRPr="0070398F">
        <w:rPr>
          <w:lang w:val="en-US"/>
        </w:rPr>
        <w:t xml:space="preserve"> </w:t>
      </w:r>
      <w:r w:rsidR="00E6629E" w:rsidRPr="0070398F">
        <w:rPr>
          <w:lang w:val="en-US"/>
        </w:rPr>
        <w:t>software</w:t>
      </w:r>
      <w:r w:rsidR="00FB3669" w:rsidRPr="0070398F">
        <w:rPr>
          <w:lang w:val="en-US"/>
        </w:rPr>
        <w:t>.</w:t>
      </w:r>
    </w:p>
    <w:p w:rsidR="00E6629E" w:rsidRPr="0070398F" w:rsidRDefault="00675959" w:rsidP="00675959">
      <w:pPr>
        <w:spacing w:before="120" w:after="120"/>
        <w:jc w:val="both"/>
        <w:rPr>
          <w:lang w:val="en-US"/>
        </w:rPr>
      </w:pPr>
      <w:r w:rsidRPr="0070398F">
        <w:rPr>
          <w:b/>
          <w:bCs/>
          <w:lang w:val="en-US"/>
        </w:rPr>
        <w:t>1.3.</w:t>
      </w:r>
      <w:r w:rsidR="00A046D4" w:rsidRPr="0070398F">
        <w:rPr>
          <w:b/>
          <w:bCs/>
          <w:lang w:val="en-US"/>
        </w:rPr>
        <w:t>2</w:t>
      </w:r>
      <w:r w:rsidRPr="0070398F">
        <w:rPr>
          <w:b/>
          <w:bCs/>
          <w:lang w:val="en-US"/>
        </w:rPr>
        <w:t>.</w:t>
      </w:r>
      <w:r w:rsidRPr="0070398F">
        <w:rPr>
          <w:lang w:val="en-US"/>
        </w:rPr>
        <w:t xml:space="preserve"> </w:t>
      </w:r>
      <w:r w:rsidR="00E6629E" w:rsidRPr="0070398F">
        <w:rPr>
          <w:lang w:val="en-US"/>
        </w:rPr>
        <w:t>The list of employees authorized to sign the organizational, administrative, financial and accounting documents is approved by order of the Director General.</w:t>
      </w:r>
    </w:p>
    <w:p w:rsidR="00675959" w:rsidRPr="0070398F" w:rsidRDefault="00675959" w:rsidP="00675959">
      <w:pPr>
        <w:spacing w:before="120" w:after="120"/>
        <w:jc w:val="both"/>
        <w:rPr>
          <w:lang w:val="en-US"/>
        </w:rPr>
      </w:pPr>
      <w:r w:rsidRPr="0070398F">
        <w:rPr>
          <w:b/>
          <w:bCs/>
          <w:lang w:val="en-US"/>
        </w:rPr>
        <w:t>1.3.</w:t>
      </w:r>
      <w:r w:rsidR="00A046D4" w:rsidRPr="0070398F">
        <w:rPr>
          <w:b/>
          <w:bCs/>
          <w:lang w:val="en-US"/>
        </w:rPr>
        <w:t>3</w:t>
      </w:r>
      <w:r w:rsidRPr="0070398F">
        <w:rPr>
          <w:lang w:val="en-US"/>
        </w:rPr>
        <w:t xml:space="preserve">. </w:t>
      </w:r>
      <w:r w:rsidR="00FB3669" w:rsidRPr="0070398F">
        <w:rPr>
          <w:lang w:val="en-US"/>
        </w:rPr>
        <w:t xml:space="preserve">Confidentiality of </w:t>
      </w:r>
      <w:r w:rsidR="00232554">
        <w:rPr>
          <w:lang w:val="en-US"/>
        </w:rPr>
        <w:t>a</w:t>
      </w:r>
      <w:r w:rsidR="00FB3669" w:rsidRPr="0070398F">
        <w:rPr>
          <w:lang w:val="en-US"/>
        </w:rPr>
        <w:t xml:space="preserve">ccounting </w:t>
      </w:r>
      <w:r w:rsidR="00232554">
        <w:rPr>
          <w:lang w:val="en-US"/>
        </w:rPr>
        <w:t>i</w:t>
      </w:r>
      <w:r w:rsidR="00FB3669" w:rsidRPr="0070398F">
        <w:rPr>
          <w:lang w:val="en-US"/>
        </w:rPr>
        <w:t>nformation</w:t>
      </w:r>
    </w:p>
    <w:p w:rsidR="00E6629E" w:rsidRPr="0070398F" w:rsidRDefault="00E6629E" w:rsidP="00675959">
      <w:pPr>
        <w:spacing w:before="120" w:after="120"/>
        <w:jc w:val="both"/>
        <w:rPr>
          <w:lang w:val="en-US"/>
        </w:rPr>
      </w:pPr>
      <w:r w:rsidRPr="0070398F">
        <w:rPr>
          <w:lang w:val="en-US"/>
        </w:rPr>
        <w:t xml:space="preserve">The content of source documents and accounting registers is information constituting a trade secret. Access to accounting records is provided only </w:t>
      </w:r>
      <w:r w:rsidR="00232554">
        <w:rPr>
          <w:lang w:val="en-US"/>
        </w:rPr>
        <w:t>if</w:t>
      </w:r>
      <w:r w:rsidRPr="0070398F">
        <w:rPr>
          <w:lang w:val="en-US"/>
        </w:rPr>
        <w:t xml:space="preserve"> authorized by the management, or to the Organization’s officers.</w:t>
      </w:r>
    </w:p>
    <w:p w:rsidR="00675959" w:rsidRPr="0070398F" w:rsidRDefault="00675959" w:rsidP="004F24CC">
      <w:pPr>
        <w:pStyle w:val="2"/>
        <w:spacing w:before="240" w:after="240"/>
        <w:rPr>
          <w:lang w:val="en-US"/>
        </w:rPr>
      </w:pPr>
      <w:r w:rsidRPr="0070398F">
        <w:rPr>
          <w:lang w:val="en-US"/>
        </w:rPr>
        <w:t xml:space="preserve">1.4. </w:t>
      </w:r>
      <w:r w:rsidR="00E6629E" w:rsidRPr="0070398F">
        <w:rPr>
          <w:lang w:val="en-US"/>
        </w:rPr>
        <w:t>Inventory</w:t>
      </w:r>
    </w:p>
    <w:p w:rsidR="00675959" w:rsidRPr="0070398F" w:rsidRDefault="00675959" w:rsidP="00675959">
      <w:pPr>
        <w:spacing w:before="120" w:after="120"/>
        <w:jc w:val="both"/>
        <w:rPr>
          <w:rStyle w:val="af7"/>
          <w:lang w:val="en-US"/>
        </w:rPr>
      </w:pPr>
      <w:r w:rsidRPr="0070398F">
        <w:rPr>
          <w:rStyle w:val="af7"/>
          <w:lang w:val="en-US"/>
        </w:rPr>
        <w:t xml:space="preserve">1.4.1. </w:t>
      </w:r>
      <w:r w:rsidR="00C046C7" w:rsidRPr="0070398F">
        <w:rPr>
          <w:rStyle w:val="af7"/>
          <w:lang w:val="en-US"/>
        </w:rPr>
        <w:t>Inventory applies to</w:t>
      </w:r>
      <w:r w:rsidRPr="0070398F">
        <w:rPr>
          <w:rStyle w:val="af7"/>
          <w:lang w:val="en-US"/>
        </w:rPr>
        <w:t>:</w:t>
      </w:r>
    </w:p>
    <w:p w:rsidR="00675959" w:rsidRPr="0070398F" w:rsidRDefault="00675959" w:rsidP="003340F3">
      <w:pPr>
        <w:jc w:val="both"/>
        <w:rPr>
          <w:lang w:val="en-US"/>
        </w:rPr>
      </w:pPr>
      <w:r w:rsidRPr="0070398F">
        <w:rPr>
          <w:lang w:val="en-US"/>
        </w:rPr>
        <w:t>–</w:t>
      </w:r>
      <w:r w:rsidR="00C046C7" w:rsidRPr="0070398F">
        <w:rPr>
          <w:lang w:val="en-US"/>
        </w:rPr>
        <w:t xml:space="preserve"> </w:t>
      </w:r>
      <w:r w:rsidR="00915F49" w:rsidRPr="0070398F">
        <w:rPr>
          <w:lang w:val="en-US"/>
        </w:rPr>
        <w:t>the Organization’s</w:t>
      </w:r>
      <w:r w:rsidR="00C046C7" w:rsidRPr="0070398F">
        <w:rPr>
          <w:lang w:val="en-US"/>
        </w:rPr>
        <w:t xml:space="preserve"> property regardless of the location</w:t>
      </w:r>
      <w:r w:rsidRPr="0070398F">
        <w:rPr>
          <w:lang w:val="en-US"/>
        </w:rPr>
        <w:t>;</w:t>
      </w:r>
      <w:r w:rsidR="00C046C7" w:rsidRPr="0070398F">
        <w:rPr>
          <w:lang w:val="en-US"/>
        </w:rPr>
        <w:t xml:space="preserve"> and</w:t>
      </w:r>
    </w:p>
    <w:p w:rsidR="00675959" w:rsidRPr="0070398F" w:rsidRDefault="00675959" w:rsidP="003340F3">
      <w:pPr>
        <w:jc w:val="both"/>
        <w:rPr>
          <w:lang w:val="en-US"/>
        </w:rPr>
      </w:pPr>
      <w:r w:rsidRPr="0070398F">
        <w:rPr>
          <w:lang w:val="en-US"/>
        </w:rPr>
        <w:t xml:space="preserve">– </w:t>
      </w:r>
      <w:r w:rsidR="00F042C7" w:rsidRPr="0070398F">
        <w:rPr>
          <w:lang w:val="en-US"/>
        </w:rPr>
        <w:t xml:space="preserve">property not owned by </w:t>
      </w:r>
      <w:r w:rsidR="00915F49" w:rsidRPr="0070398F">
        <w:rPr>
          <w:lang w:val="en-US"/>
        </w:rPr>
        <w:t>the Organization</w:t>
      </w:r>
      <w:r w:rsidRPr="0070398F">
        <w:rPr>
          <w:lang w:val="en-US"/>
        </w:rPr>
        <w:t>,</w:t>
      </w:r>
      <w:r w:rsidR="00F042C7" w:rsidRPr="0070398F">
        <w:rPr>
          <w:lang w:val="en-US"/>
        </w:rPr>
        <w:t xml:space="preserve"> but recorded on the accounts</w:t>
      </w:r>
      <w:r w:rsidRPr="0070398F">
        <w:rPr>
          <w:lang w:val="en-US"/>
        </w:rPr>
        <w:t xml:space="preserve"> (</w:t>
      </w:r>
      <w:r w:rsidR="00F042C7" w:rsidRPr="0070398F">
        <w:rPr>
          <w:lang w:val="en-US"/>
        </w:rPr>
        <w:t>in safe custody</w:t>
      </w:r>
      <w:r w:rsidRPr="0070398F">
        <w:rPr>
          <w:lang w:val="en-US"/>
        </w:rPr>
        <w:t>,</w:t>
      </w:r>
      <w:r w:rsidR="00405694" w:rsidRPr="0070398F">
        <w:rPr>
          <w:lang w:val="en-US"/>
        </w:rPr>
        <w:t xml:space="preserve"> </w:t>
      </w:r>
      <w:r w:rsidR="00F042C7" w:rsidRPr="0070398F">
        <w:rPr>
          <w:lang w:val="en-US"/>
        </w:rPr>
        <w:t>leased</w:t>
      </w:r>
      <w:r w:rsidR="00405694" w:rsidRPr="0070398F">
        <w:rPr>
          <w:lang w:val="en-US"/>
        </w:rPr>
        <w:t>).</w:t>
      </w:r>
    </w:p>
    <w:p w:rsidR="00675959" w:rsidRPr="0070398F" w:rsidRDefault="00F042C7" w:rsidP="00675959">
      <w:pPr>
        <w:spacing w:before="120" w:after="120"/>
        <w:jc w:val="both"/>
        <w:rPr>
          <w:lang w:val="en-US"/>
        </w:rPr>
      </w:pPr>
      <w:r w:rsidRPr="0070398F">
        <w:rPr>
          <w:lang w:val="en-US"/>
        </w:rPr>
        <w:t>Scheduled annual inventory of the property is conducted according to the procedure strictly on the following due dates</w:t>
      </w:r>
      <w:r w:rsidR="00675959" w:rsidRPr="0070398F">
        <w:rPr>
          <w:lang w:val="en-US"/>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60" w:type="dxa"/>
          <w:left w:w="60" w:type="dxa"/>
          <w:bottom w:w="60" w:type="dxa"/>
          <w:right w:w="60" w:type="dxa"/>
        </w:tblCellMar>
        <w:tblLook w:val="04A0" w:firstRow="1" w:lastRow="0" w:firstColumn="1" w:lastColumn="0" w:noHBand="0" w:noVBand="1"/>
      </w:tblPr>
      <w:tblGrid>
        <w:gridCol w:w="6630"/>
        <w:gridCol w:w="2716"/>
      </w:tblGrid>
      <w:tr w:rsidR="00123821" w:rsidRPr="0070398F" w:rsidTr="003340F3">
        <w:tc>
          <w:tcPr>
            <w:tcW w:w="3547" w:type="pct"/>
            <w:shd w:val="clear" w:color="auto" w:fill="auto"/>
            <w:hideMark/>
          </w:tcPr>
          <w:p w:rsidR="00123821" w:rsidRPr="0070398F" w:rsidRDefault="00F042C7" w:rsidP="003340F3">
            <w:pPr>
              <w:pStyle w:val="ptable"/>
              <w:ind w:left="445"/>
              <w:rPr>
                <w:color w:val="000000" w:themeColor="text1"/>
                <w:sz w:val="22"/>
                <w:szCs w:val="22"/>
                <w:lang w:val="en-US"/>
              </w:rPr>
            </w:pPr>
            <w:r w:rsidRPr="0070398F">
              <w:rPr>
                <w:rStyle w:val="ftable"/>
                <w:color w:val="000000" w:themeColor="text1"/>
                <w:sz w:val="22"/>
                <w:szCs w:val="22"/>
                <w:lang w:val="en-US"/>
              </w:rPr>
              <w:t>Inventories</w:t>
            </w:r>
            <w:r w:rsidR="003340F3" w:rsidRPr="0070398F">
              <w:rPr>
                <w:rStyle w:val="ftable"/>
                <w:color w:val="000000" w:themeColor="text1"/>
                <w:sz w:val="22"/>
                <w:szCs w:val="22"/>
                <w:lang w:val="en-US"/>
              </w:rPr>
              <w:t xml:space="preserve"> </w:t>
            </w:r>
          </w:p>
        </w:tc>
        <w:tc>
          <w:tcPr>
            <w:tcW w:w="1453" w:type="pct"/>
            <w:shd w:val="clear" w:color="auto" w:fill="auto"/>
            <w:hideMark/>
          </w:tcPr>
          <w:p w:rsidR="00123821" w:rsidRPr="0070398F" w:rsidRDefault="00452F77" w:rsidP="00123821">
            <w:pPr>
              <w:pStyle w:val="ptable"/>
              <w:jc w:val="both"/>
              <w:rPr>
                <w:color w:val="000000" w:themeColor="text1"/>
                <w:sz w:val="22"/>
                <w:szCs w:val="22"/>
                <w:lang w:val="en-US"/>
              </w:rPr>
            </w:pPr>
            <w:r w:rsidRPr="0070398F">
              <w:rPr>
                <w:rStyle w:val="ftable"/>
                <w:sz w:val="22"/>
                <w:lang w:val="en-US"/>
              </w:rPr>
              <w:t xml:space="preserve">October </w:t>
            </w:r>
            <w:r w:rsidR="0090474C" w:rsidRPr="0070398F">
              <w:rPr>
                <w:rStyle w:val="ftable"/>
                <w:sz w:val="22"/>
                <w:lang w:val="en-US"/>
              </w:rPr>
              <w:t xml:space="preserve">1 </w:t>
            </w:r>
          </w:p>
        </w:tc>
      </w:tr>
      <w:tr w:rsidR="00452F77" w:rsidRPr="0070398F" w:rsidTr="003340F3">
        <w:tc>
          <w:tcPr>
            <w:tcW w:w="3547" w:type="pct"/>
            <w:shd w:val="clear" w:color="auto" w:fill="auto"/>
            <w:hideMark/>
          </w:tcPr>
          <w:p w:rsidR="00452F77" w:rsidRPr="0070398F" w:rsidRDefault="00F042C7" w:rsidP="00452F77">
            <w:pPr>
              <w:pStyle w:val="ptable"/>
              <w:ind w:left="445"/>
              <w:rPr>
                <w:color w:val="000000" w:themeColor="text1"/>
                <w:sz w:val="22"/>
                <w:szCs w:val="22"/>
                <w:lang w:val="en-US"/>
              </w:rPr>
            </w:pPr>
            <w:r w:rsidRPr="0070398F">
              <w:rPr>
                <w:rStyle w:val="ftable"/>
                <w:color w:val="000000" w:themeColor="text1"/>
                <w:sz w:val="22"/>
                <w:szCs w:val="22"/>
                <w:lang w:val="en-US"/>
              </w:rPr>
              <w:t>Fixed assets</w:t>
            </w:r>
          </w:p>
        </w:tc>
        <w:tc>
          <w:tcPr>
            <w:tcW w:w="1453" w:type="pct"/>
            <w:shd w:val="clear" w:color="auto" w:fill="auto"/>
            <w:hideMark/>
          </w:tcPr>
          <w:p w:rsidR="00452F77" w:rsidRPr="0070398F" w:rsidRDefault="00452F77" w:rsidP="00452F77">
            <w:pPr>
              <w:pStyle w:val="ptable"/>
              <w:jc w:val="both"/>
              <w:rPr>
                <w:color w:val="000000" w:themeColor="text1"/>
                <w:sz w:val="22"/>
                <w:szCs w:val="22"/>
                <w:lang w:val="en-US"/>
              </w:rPr>
            </w:pPr>
            <w:r w:rsidRPr="0070398F">
              <w:rPr>
                <w:rStyle w:val="ftable"/>
                <w:sz w:val="22"/>
                <w:lang w:val="en-US"/>
              </w:rPr>
              <w:t xml:space="preserve">October 1 </w:t>
            </w:r>
          </w:p>
        </w:tc>
      </w:tr>
      <w:tr w:rsidR="00452F77" w:rsidRPr="0070398F" w:rsidTr="003340F3">
        <w:tc>
          <w:tcPr>
            <w:tcW w:w="3547" w:type="pct"/>
            <w:shd w:val="clear" w:color="auto" w:fill="auto"/>
            <w:hideMark/>
          </w:tcPr>
          <w:p w:rsidR="00452F77" w:rsidRPr="0070398F" w:rsidRDefault="00F042C7" w:rsidP="00452F77">
            <w:pPr>
              <w:pStyle w:val="ptable"/>
              <w:ind w:left="445"/>
              <w:rPr>
                <w:color w:val="000000" w:themeColor="text1"/>
                <w:sz w:val="22"/>
                <w:szCs w:val="22"/>
                <w:lang w:val="en-US"/>
              </w:rPr>
            </w:pPr>
            <w:r w:rsidRPr="0070398F">
              <w:rPr>
                <w:rStyle w:val="ftable"/>
                <w:color w:val="000000" w:themeColor="text1"/>
                <w:sz w:val="22"/>
                <w:szCs w:val="22"/>
                <w:lang w:val="en-US"/>
              </w:rPr>
              <w:lastRenderedPageBreak/>
              <w:t>Intangible assets,</w:t>
            </w:r>
            <w:r w:rsidR="00452F77" w:rsidRPr="0070398F">
              <w:rPr>
                <w:rStyle w:val="ftable"/>
                <w:color w:val="000000" w:themeColor="text1"/>
                <w:sz w:val="22"/>
                <w:szCs w:val="22"/>
                <w:lang w:val="en-US"/>
              </w:rPr>
              <w:t xml:space="preserve"> </w:t>
            </w:r>
            <w:r w:rsidRPr="0070398F">
              <w:rPr>
                <w:rStyle w:val="ftable"/>
                <w:color w:val="000000" w:themeColor="text1"/>
                <w:sz w:val="22"/>
                <w:szCs w:val="22"/>
                <w:lang w:val="en-US"/>
              </w:rPr>
              <w:t>deferred expenses</w:t>
            </w:r>
            <w:r w:rsidR="00452F77" w:rsidRPr="0070398F">
              <w:rPr>
                <w:rStyle w:val="ftable"/>
                <w:color w:val="000000" w:themeColor="text1"/>
                <w:sz w:val="22"/>
                <w:szCs w:val="22"/>
                <w:lang w:val="en-US"/>
              </w:rPr>
              <w:t xml:space="preserve">, </w:t>
            </w:r>
            <w:r w:rsidRPr="0070398F">
              <w:rPr>
                <w:rStyle w:val="ftable"/>
                <w:color w:val="000000" w:themeColor="text1"/>
                <w:sz w:val="22"/>
                <w:szCs w:val="22"/>
                <w:lang w:val="en-US"/>
              </w:rPr>
              <w:t>accounts receivable and payable</w:t>
            </w:r>
          </w:p>
        </w:tc>
        <w:tc>
          <w:tcPr>
            <w:tcW w:w="1453" w:type="pct"/>
            <w:shd w:val="clear" w:color="auto" w:fill="auto"/>
            <w:hideMark/>
          </w:tcPr>
          <w:p w:rsidR="00452F77" w:rsidRPr="0070398F" w:rsidRDefault="00452F77" w:rsidP="00452F77">
            <w:pPr>
              <w:pStyle w:val="ptable"/>
              <w:jc w:val="both"/>
              <w:rPr>
                <w:color w:val="000000" w:themeColor="text1"/>
                <w:sz w:val="22"/>
                <w:szCs w:val="22"/>
                <w:lang w:val="en-US"/>
              </w:rPr>
            </w:pPr>
            <w:r w:rsidRPr="0070398F">
              <w:rPr>
                <w:rStyle w:val="ftable"/>
                <w:sz w:val="22"/>
                <w:lang w:val="en-US"/>
              </w:rPr>
              <w:t xml:space="preserve">October 1 </w:t>
            </w:r>
          </w:p>
        </w:tc>
      </w:tr>
      <w:tr w:rsidR="00452F77" w:rsidRPr="0070398F" w:rsidTr="003340F3">
        <w:tc>
          <w:tcPr>
            <w:tcW w:w="3547" w:type="pct"/>
            <w:shd w:val="clear" w:color="auto" w:fill="auto"/>
            <w:hideMark/>
          </w:tcPr>
          <w:p w:rsidR="00452F77" w:rsidRPr="0070398F" w:rsidRDefault="00F042C7" w:rsidP="00452F77">
            <w:pPr>
              <w:pStyle w:val="ptable"/>
              <w:ind w:left="445"/>
              <w:rPr>
                <w:color w:val="000000" w:themeColor="text1"/>
                <w:sz w:val="22"/>
                <w:szCs w:val="22"/>
                <w:lang w:val="en-US"/>
              </w:rPr>
            </w:pPr>
            <w:r w:rsidRPr="0070398F">
              <w:rPr>
                <w:rStyle w:val="ftable"/>
                <w:color w:val="000000" w:themeColor="text1"/>
                <w:sz w:val="22"/>
                <w:szCs w:val="22"/>
                <w:lang w:val="en-US"/>
              </w:rPr>
              <w:t>Cash in bank</w:t>
            </w:r>
          </w:p>
        </w:tc>
        <w:tc>
          <w:tcPr>
            <w:tcW w:w="1453" w:type="pct"/>
            <w:shd w:val="clear" w:color="auto" w:fill="auto"/>
            <w:hideMark/>
          </w:tcPr>
          <w:p w:rsidR="00452F77" w:rsidRPr="0070398F" w:rsidRDefault="00452F77" w:rsidP="00452F77">
            <w:pPr>
              <w:pStyle w:val="ptable"/>
              <w:jc w:val="both"/>
              <w:rPr>
                <w:color w:val="000000" w:themeColor="text1"/>
                <w:sz w:val="22"/>
                <w:szCs w:val="22"/>
                <w:lang w:val="en-US"/>
              </w:rPr>
            </w:pPr>
            <w:r w:rsidRPr="0070398F">
              <w:rPr>
                <w:rStyle w:val="ftable"/>
                <w:sz w:val="22"/>
                <w:lang w:val="en-US"/>
              </w:rPr>
              <w:t xml:space="preserve">October 1 </w:t>
            </w:r>
          </w:p>
        </w:tc>
      </w:tr>
      <w:tr w:rsidR="00452F77" w:rsidRPr="0070398F" w:rsidTr="003340F3">
        <w:tc>
          <w:tcPr>
            <w:tcW w:w="3547" w:type="pct"/>
            <w:shd w:val="clear" w:color="auto" w:fill="auto"/>
            <w:hideMark/>
          </w:tcPr>
          <w:p w:rsidR="00452F77" w:rsidRPr="0070398F" w:rsidRDefault="00F042C7" w:rsidP="00452F77">
            <w:pPr>
              <w:pStyle w:val="ptable"/>
              <w:ind w:left="445"/>
              <w:rPr>
                <w:color w:val="000000" w:themeColor="text1"/>
                <w:sz w:val="22"/>
                <w:szCs w:val="22"/>
                <w:lang w:val="en-US"/>
              </w:rPr>
            </w:pPr>
            <w:r w:rsidRPr="0070398F">
              <w:rPr>
                <w:rStyle w:val="ftable"/>
                <w:color w:val="000000" w:themeColor="text1"/>
                <w:sz w:val="22"/>
                <w:szCs w:val="22"/>
                <w:lang w:val="en-US"/>
              </w:rPr>
              <w:t>Cash on hand</w:t>
            </w:r>
            <w:r w:rsidR="00452F77" w:rsidRPr="0070398F">
              <w:rPr>
                <w:rStyle w:val="ftable"/>
                <w:color w:val="000000" w:themeColor="text1"/>
                <w:sz w:val="22"/>
                <w:szCs w:val="22"/>
                <w:lang w:val="en-US"/>
              </w:rPr>
              <w:t xml:space="preserve"> </w:t>
            </w:r>
          </w:p>
        </w:tc>
        <w:tc>
          <w:tcPr>
            <w:tcW w:w="1453" w:type="pct"/>
            <w:shd w:val="clear" w:color="auto" w:fill="auto"/>
            <w:hideMark/>
          </w:tcPr>
          <w:p w:rsidR="00452F77" w:rsidRPr="0070398F" w:rsidRDefault="00452F77" w:rsidP="00452F77">
            <w:pPr>
              <w:pStyle w:val="ptable"/>
              <w:jc w:val="both"/>
              <w:rPr>
                <w:color w:val="000000" w:themeColor="text1"/>
                <w:sz w:val="22"/>
                <w:szCs w:val="22"/>
                <w:lang w:val="en-US"/>
              </w:rPr>
            </w:pPr>
            <w:r w:rsidRPr="0070398F">
              <w:rPr>
                <w:rStyle w:val="ftable"/>
                <w:sz w:val="22"/>
                <w:lang w:val="en-US"/>
              </w:rPr>
              <w:t xml:space="preserve">October 1 </w:t>
            </w:r>
          </w:p>
        </w:tc>
      </w:tr>
    </w:tbl>
    <w:p w:rsidR="00F042C7" w:rsidRPr="0070398F" w:rsidRDefault="00F042C7" w:rsidP="00675959">
      <w:pPr>
        <w:spacing w:before="120" w:after="120"/>
        <w:jc w:val="both"/>
        <w:rPr>
          <w:lang w:val="en-US"/>
        </w:rPr>
      </w:pPr>
      <w:r w:rsidRPr="0070398F">
        <w:rPr>
          <w:lang w:val="en-US"/>
        </w:rPr>
        <w:t>In order to conduct an inventory and document its results, a permanent Inventory Committee is created as appointed by order of the Director General of the Organization.</w:t>
      </w:r>
    </w:p>
    <w:p w:rsidR="00675959" w:rsidRPr="0070398F" w:rsidRDefault="00675959" w:rsidP="004F24CC">
      <w:pPr>
        <w:pStyle w:val="1"/>
        <w:spacing w:before="240" w:after="240"/>
        <w:rPr>
          <w:lang w:val="en-US"/>
        </w:rPr>
      </w:pPr>
      <w:r w:rsidRPr="0070398F">
        <w:rPr>
          <w:lang w:val="en-US"/>
        </w:rPr>
        <w:t xml:space="preserve">II. </w:t>
      </w:r>
      <w:r w:rsidR="00045406" w:rsidRPr="0070398F">
        <w:rPr>
          <w:lang w:val="en-US"/>
        </w:rPr>
        <w:t>Practical Section</w:t>
      </w:r>
    </w:p>
    <w:p w:rsidR="00675959" w:rsidRPr="0070398F" w:rsidRDefault="00675959" w:rsidP="004F24CC">
      <w:pPr>
        <w:pStyle w:val="2"/>
        <w:spacing w:before="240" w:after="240"/>
        <w:rPr>
          <w:lang w:val="en-US"/>
        </w:rPr>
      </w:pPr>
      <w:r w:rsidRPr="0070398F">
        <w:rPr>
          <w:lang w:val="en-US"/>
        </w:rPr>
        <w:t xml:space="preserve">2.1. </w:t>
      </w:r>
      <w:r w:rsidR="00452F77" w:rsidRPr="0070398F">
        <w:rPr>
          <w:lang w:val="en-US"/>
        </w:rPr>
        <w:t>Financial Statements</w:t>
      </w:r>
    </w:p>
    <w:p w:rsidR="00D9494B" w:rsidRPr="0070398F" w:rsidRDefault="00D9494B" w:rsidP="00D9494B">
      <w:pPr>
        <w:spacing w:before="120" w:after="120"/>
        <w:jc w:val="both"/>
        <w:rPr>
          <w:lang w:val="en-US"/>
        </w:rPr>
      </w:pPr>
      <w:r w:rsidRPr="0070398F">
        <w:rPr>
          <w:lang w:val="en-US"/>
        </w:rPr>
        <w:t>General</w:t>
      </w:r>
      <w:r w:rsidR="00390C58" w:rsidRPr="0070398F">
        <w:rPr>
          <w:lang w:val="en-US"/>
        </w:rPr>
        <w:t>-</w:t>
      </w:r>
      <w:r w:rsidRPr="0070398F">
        <w:rPr>
          <w:lang w:val="en-US"/>
        </w:rPr>
        <w:t xml:space="preserve">purpose financial </w:t>
      </w:r>
      <w:r w:rsidR="00390C58" w:rsidRPr="0070398F">
        <w:rPr>
          <w:lang w:val="en-US"/>
        </w:rPr>
        <w:t xml:space="preserve">statements are </w:t>
      </w:r>
      <w:r w:rsidRPr="0070398F">
        <w:rPr>
          <w:lang w:val="en-US"/>
        </w:rPr>
        <w:t xml:space="preserve">designed to meet the needs of those users who </w:t>
      </w:r>
      <w:r w:rsidR="00390C58" w:rsidRPr="0070398F">
        <w:rPr>
          <w:lang w:val="en-US"/>
        </w:rPr>
        <w:t>may</w:t>
      </w:r>
      <w:r w:rsidRPr="0070398F">
        <w:rPr>
          <w:lang w:val="en-US"/>
        </w:rPr>
        <w:t xml:space="preserve"> not requ</w:t>
      </w:r>
      <w:r w:rsidR="00390C58" w:rsidRPr="0070398F">
        <w:rPr>
          <w:lang w:val="en-US"/>
        </w:rPr>
        <w:t>ire</w:t>
      </w:r>
      <w:r w:rsidRPr="0070398F">
        <w:rPr>
          <w:lang w:val="en-US"/>
        </w:rPr>
        <w:t xml:space="preserve"> the </w:t>
      </w:r>
      <w:r w:rsidR="00390C58" w:rsidRPr="0070398F">
        <w:rPr>
          <w:lang w:val="en-US"/>
        </w:rPr>
        <w:t>o</w:t>
      </w:r>
      <w:r w:rsidRPr="0070398F">
        <w:rPr>
          <w:lang w:val="en-US"/>
        </w:rPr>
        <w:t xml:space="preserve">rganization to prepare </w:t>
      </w:r>
      <w:r w:rsidR="00390C58" w:rsidRPr="0070398F">
        <w:rPr>
          <w:lang w:val="en-US"/>
        </w:rPr>
        <w:t>statements</w:t>
      </w:r>
      <w:r w:rsidRPr="0070398F">
        <w:rPr>
          <w:lang w:val="en-US"/>
        </w:rPr>
        <w:t xml:space="preserve"> that meet their private information needs.</w:t>
      </w:r>
    </w:p>
    <w:p w:rsidR="00675959" w:rsidRPr="0070398F" w:rsidRDefault="00D9494B" w:rsidP="00675959">
      <w:pPr>
        <w:spacing w:before="120" w:after="120"/>
        <w:jc w:val="both"/>
        <w:rPr>
          <w:lang w:val="en-US"/>
        </w:rPr>
      </w:pPr>
      <w:r w:rsidRPr="0070398F">
        <w:rPr>
          <w:lang w:val="en-US"/>
        </w:rPr>
        <w:t>In the preparation of the financial statements,</w:t>
      </w:r>
      <w:r w:rsidR="00675959" w:rsidRPr="0070398F">
        <w:rPr>
          <w:lang w:val="en-US"/>
        </w:rPr>
        <w:t xml:space="preserve"> </w:t>
      </w:r>
      <w:r w:rsidR="00915F49" w:rsidRPr="0070398F">
        <w:rPr>
          <w:lang w:val="en-US"/>
        </w:rPr>
        <w:t>the Organization</w:t>
      </w:r>
      <w:r w:rsidRPr="0070398F">
        <w:rPr>
          <w:lang w:val="en-US"/>
        </w:rPr>
        <w:t xml:space="preserve"> follows</w:t>
      </w:r>
      <w:r w:rsidR="00675959" w:rsidRPr="0070398F">
        <w:rPr>
          <w:lang w:val="en-US"/>
        </w:rPr>
        <w:t>:</w:t>
      </w:r>
    </w:p>
    <w:p w:rsidR="00675959" w:rsidRPr="0070398F" w:rsidRDefault="007300E6" w:rsidP="00675959">
      <w:pPr>
        <w:spacing w:before="120" w:after="120"/>
        <w:jc w:val="both"/>
        <w:rPr>
          <w:lang w:val="en-US"/>
        </w:rPr>
      </w:pPr>
      <w:r w:rsidRPr="0070398F">
        <w:rPr>
          <w:lang w:val="en-US"/>
        </w:rPr>
        <w:t>a</w:t>
      </w:r>
      <w:r w:rsidR="00675959" w:rsidRPr="0070398F">
        <w:rPr>
          <w:lang w:val="en-US"/>
        </w:rPr>
        <w:t xml:space="preserve">) </w:t>
      </w:r>
      <w:r w:rsidRPr="0070398F">
        <w:rPr>
          <w:lang w:val="en-US"/>
        </w:rPr>
        <w:t>IFRS</w:t>
      </w:r>
      <w:r w:rsidR="00675959" w:rsidRPr="0070398F">
        <w:rPr>
          <w:lang w:val="en-US"/>
        </w:rPr>
        <w:t xml:space="preserve"> (IAS) 1 </w:t>
      </w:r>
      <w:r w:rsidRPr="0070398F">
        <w:rPr>
          <w:lang w:val="en-US"/>
        </w:rPr>
        <w:t>Presentation of Financial Statements</w:t>
      </w:r>
      <w:r w:rsidR="00675959" w:rsidRPr="0070398F">
        <w:rPr>
          <w:lang w:val="en-US"/>
        </w:rPr>
        <w:t>;</w:t>
      </w:r>
    </w:p>
    <w:p w:rsidR="00675959" w:rsidRPr="0070398F" w:rsidRDefault="007300E6" w:rsidP="00675959">
      <w:pPr>
        <w:spacing w:before="120" w:after="120"/>
        <w:jc w:val="both"/>
        <w:rPr>
          <w:lang w:val="en-US"/>
        </w:rPr>
      </w:pPr>
      <w:r w:rsidRPr="0070398F">
        <w:rPr>
          <w:lang w:val="en-US"/>
        </w:rPr>
        <w:t>b</w:t>
      </w:r>
      <w:r w:rsidR="00675959" w:rsidRPr="0070398F">
        <w:rPr>
          <w:lang w:val="en-US"/>
        </w:rPr>
        <w:t xml:space="preserve">) </w:t>
      </w:r>
      <w:r w:rsidRPr="0070398F">
        <w:rPr>
          <w:lang w:val="en-US"/>
        </w:rPr>
        <w:t>IFRS</w:t>
      </w:r>
      <w:r w:rsidR="00675959" w:rsidRPr="0070398F">
        <w:rPr>
          <w:lang w:val="en-US"/>
        </w:rPr>
        <w:t xml:space="preserve"> (IAS) 7 </w:t>
      </w:r>
      <w:r w:rsidRPr="0070398F">
        <w:rPr>
          <w:lang w:val="en-US"/>
        </w:rPr>
        <w:t>Statement of Cash Flows</w:t>
      </w:r>
      <w:r w:rsidR="00675959" w:rsidRPr="0070398F">
        <w:rPr>
          <w:lang w:val="en-US"/>
        </w:rPr>
        <w:t>.</w:t>
      </w:r>
    </w:p>
    <w:p w:rsidR="00D9494B" w:rsidRPr="0070398F" w:rsidRDefault="00D9494B" w:rsidP="00D9494B">
      <w:pPr>
        <w:spacing w:before="120" w:after="120"/>
        <w:jc w:val="both"/>
        <w:rPr>
          <w:lang w:val="en-US"/>
        </w:rPr>
      </w:pPr>
      <w:r w:rsidRPr="0070398F">
        <w:rPr>
          <w:lang w:val="en-US"/>
        </w:rPr>
        <w:t>Financial statements are made in KZT and USD.</w:t>
      </w:r>
    </w:p>
    <w:p w:rsidR="00675959" w:rsidRPr="0070398F" w:rsidRDefault="00675959" w:rsidP="00675959">
      <w:pPr>
        <w:spacing w:before="120" w:after="120"/>
        <w:jc w:val="both"/>
        <w:rPr>
          <w:rStyle w:val="af7"/>
          <w:lang w:val="en-US"/>
        </w:rPr>
      </w:pPr>
      <w:r w:rsidRPr="0070398F">
        <w:rPr>
          <w:rStyle w:val="af7"/>
          <w:lang w:val="en-US"/>
        </w:rPr>
        <w:t xml:space="preserve">2.1.1.  </w:t>
      </w:r>
      <w:r w:rsidR="00390C58" w:rsidRPr="0070398F">
        <w:rPr>
          <w:rStyle w:val="af7"/>
          <w:lang w:val="en-US"/>
        </w:rPr>
        <w:t xml:space="preserve">A full set of financial </w:t>
      </w:r>
      <w:r w:rsidR="000219B9">
        <w:rPr>
          <w:rStyle w:val="af7"/>
          <w:lang w:val="en-US"/>
        </w:rPr>
        <w:t>statements</w:t>
      </w:r>
      <w:r w:rsidR="00390C58" w:rsidRPr="0070398F">
        <w:rPr>
          <w:rStyle w:val="af7"/>
          <w:lang w:val="en-US"/>
        </w:rPr>
        <w:t xml:space="preserve"> and frequency of submission</w:t>
      </w:r>
      <w:r w:rsidRPr="0070398F">
        <w:rPr>
          <w:rStyle w:val="af7"/>
          <w:lang w:val="en-US"/>
        </w:rPr>
        <w:t xml:space="preserve">:  </w:t>
      </w:r>
    </w:p>
    <w:tbl>
      <w:tblPr>
        <w:tblW w:w="5000" w:type="pct"/>
        <w:tblCellMar>
          <w:top w:w="60" w:type="dxa"/>
          <w:left w:w="60" w:type="dxa"/>
          <w:bottom w:w="60" w:type="dxa"/>
          <w:right w:w="60" w:type="dxa"/>
        </w:tblCellMar>
        <w:tblLook w:val="04A0" w:firstRow="1" w:lastRow="0" w:firstColumn="1" w:lastColumn="0" w:noHBand="0" w:noVBand="1"/>
      </w:tblPr>
      <w:tblGrid>
        <w:gridCol w:w="4786"/>
        <w:gridCol w:w="4554"/>
      </w:tblGrid>
      <w:tr w:rsidR="00CF5DCC" w:rsidRPr="0070398F" w:rsidTr="00CF5DCC">
        <w:trPr>
          <w:trHeight w:val="15"/>
        </w:trPr>
        <w:tc>
          <w:tcPr>
            <w:tcW w:w="2562" w:type="pct"/>
            <w:tcBorders>
              <w:top w:val="single" w:sz="6" w:space="0" w:color="000000"/>
              <w:left w:val="single" w:sz="6" w:space="0" w:color="000000"/>
              <w:bottom w:val="single" w:sz="6" w:space="0" w:color="000000"/>
              <w:right w:val="single" w:sz="6" w:space="0" w:color="000000"/>
            </w:tcBorders>
            <w:shd w:val="clear" w:color="auto" w:fill="E5DFEC" w:themeFill="accent4" w:themeFillTint="33"/>
            <w:vAlign w:val="center"/>
            <w:hideMark/>
          </w:tcPr>
          <w:p w:rsidR="00CF5DCC" w:rsidRPr="0070398F" w:rsidRDefault="00A75E6E" w:rsidP="00CF5DCC">
            <w:pPr>
              <w:pStyle w:val="ptable"/>
              <w:spacing w:line="15" w:lineRule="atLeast"/>
              <w:ind w:left="303"/>
              <w:jc w:val="both"/>
              <w:rPr>
                <w:color w:val="000000" w:themeColor="text1"/>
                <w:sz w:val="22"/>
                <w:szCs w:val="22"/>
                <w:lang w:val="en-US"/>
              </w:rPr>
            </w:pPr>
            <w:r w:rsidRPr="0070398F">
              <w:rPr>
                <w:rStyle w:val="ftable"/>
                <w:b/>
                <w:bCs/>
                <w:color w:val="000000" w:themeColor="text1"/>
                <w:sz w:val="22"/>
                <w:szCs w:val="22"/>
                <w:lang w:val="en-US"/>
              </w:rPr>
              <w:t>Title of Statement</w:t>
            </w:r>
          </w:p>
        </w:tc>
        <w:tc>
          <w:tcPr>
            <w:tcW w:w="2438" w:type="pct"/>
            <w:tcBorders>
              <w:top w:val="single" w:sz="6" w:space="0" w:color="000000"/>
              <w:left w:val="single" w:sz="6" w:space="0" w:color="000000"/>
              <w:bottom w:val="single" w:sz="6" w:space="0" w:color="000000"/>
              <w:right w:val="single" w:sz="6" w:space="0" w:color="000000"/>
            </w:tcBorders>
            <w:shd w:val="clear" w:color="auto" w:fill="E5DFEC" w:themeFill="accent4" w:themeFillTint="33"/>
            <w:vAlign w:val="center"/>
            <w:hideMark/>
          </w:tcPr>
          <w:p w:rsidR="00CF5DCC" w:rsidRPr="0070398F" w:rsidRDefault="00A75E6E" w:rsidP="00CF5DCC">
            <w:pPr>
              <w:pStyle w:val="ptable"/>
              <w:spacing w:line="15" w:lineRule="atLeast"/>
              <w:jc w:val="both"/>
              <w:rPr>
                <w:color w:val="000000" w:themeColor="text1"/>
                <w:sz w:val="22"/>
                <w:szCs w:val="22"/>
                <w:lang w:val="en-US"/>
              </w:rPr>
            </w:pPr>
            <w:r w:rsidRPr="0070398F">
              <w:rPr>
                <w:rStyle w:val="ftable"/>
                <w:b/>
                <w:bCs/>
                <w:color w:val="000000" w:themeColor="text1"/>
                <w:sz w:val="22"/>
                <w:szCs w:val="22"/>
                <w:lang w:val="en-US"/>
              </w:rPr>
              <w:t xml:space="preserve">Frequency of </w:t>
            </w:r>
            <w:r w:rsidR="000219B9">
              <w:rPr>
                <w:rStyle w:val="ftable"/>
                <w:b/>
                <w:bCs/>
                <w:color w:val="000000" w:themeColor="text1"/>
                <w:sz w:val="22"/>
                <w:szCs w:val="22"/>
                <w:lang w:val="en-US"/>
              </w:rPr>
              <w:t>Submission</w:t>
            </w:r>
          </w:p>
        </w:tc>
      </w:tr>
      <w:tr w:rsidR="00CF5DCC" w:rsidRPr="0070398F" w:rsidTr="00CF5DCC">
        <w:trPr>
          <w:trHeight w:val="15"/>
        </w:trPr>
        <w:tc>
          <w:tcPr>
            <w:tcW w:w="2562" w:type="pct"/>
            <w:tcBorders>
              <w:top w:val="single" w:sz="6" w:space="0" w:color="000000"/>
              <w:left w:val="single" w:sz="6" w:space="0" w:color="000000"/>
              <w:bottom w:val="single" w:sz="6" w:space="0" w:color="000000"/>
              <w:right w:val="single" w:sz="6" w:space="0" w:color="000000"/>
            </w:tcBorders>
            <w:hideMark/>
          </w:tcPr>
          <w:p w:rsidR="00CF5DCC" w:rsidRPr="0070398F" w:rsidRDefault="00A75E6E" w:rsidP="008C767C">
            <w:pPr>
              <w:pStyle w:val="ptable"/>
              <w:spacing w:line="15" w:lineRule="atLeast"/>
              <w:ind w:left="303"/>
              <w:rPr>
                <w:color w:val="000000" w:themeColor="text1"/>
                <w:sz w:val="22"/>
                <w:szCs w:val="22"/>
                <w:lang w:val="en-US"/>
              </w:rPr>
            </w:pPr>
            <w:r w:rsidRPr="0070398F">
              <w:rPr>
                <w:rStyle w:val="ftable"/>
                <w:color w:val="000000" w:themeColor="text1"/>
                <w:sz w:val="22"/>
                <w:szCs w:val="22"/>
                <w:lang w:val="en-US"/>
              </w:rPr>
              <w:t>Statement of Financial Position (Balance Sheet</w:t>
            </w:r>
            <w:r w:rsidR="008C767C" w:rsidRPr="0070398F">
              <w:rPr>
                <w:rStyle w:val="ftable"/>
                <w:color w:val="000000" w:themeColor="text1"/>
                <w:sz w:val="22"/>
                <w:szCs w:val="22"/>
                <w:lang w:val="en-US"/>
              </w:rPr>
              <w:t>)</w:t>
            </w:r>
            <w:r w:rsidRPr="0070398F">
              <w:rPr>
                <w:rStyle w:val="ftable"/>
                <w:color w:val="000000" w:themeColor="text1"/>
                <w:sz w:val="22"/>
                <w:szCs w:val="22"/>
                <w:lang w:val="en-US"/>
              </w:rPr>
              <w:t xml:space="preserve"> as at the End of the Period</w:t>
            </w:r>
          </w:p>
        </w:tc>
        <w:tc>
          <w:tcPr>
            <w:tcW w:w="2438" w:type="pct"/>
            <w:tcBorders>
              <w:top w:val="single" w:sz="6" w:space="0" w:color="000000"/>
              <w:left w:val="single" w:sz="6" w:space="0" w:color="000000"/>
              <w:bottom w:val="single" w:sz="6" w:space="0" w:color="000000"/>
              <w:right w:val="single" w:sz="6" w:space="0" w:color="000000"/>
            </w:tcBorders>
            <w:hideMark/>
          </w:tcPr>
          <w:p w:rsidR="00CF5DCC" w:rsidRPr="0070398F" w:rsidRDefault="00A75E6E" w:rsidP="00CF5DCC">
            <w:pPr>
              <w:pStyle w:val="ptable"/>
              <w:spacing w:line="15" w:lineRule="atLeast"/>
              <w:jc w:val="both"/>
              <w:rPr>
                <w:color w:val="000000" w:themeColor="text1"/>
                <w:sz w:val="22"/>
                <w:szCs w:val="22"/>
                <w:lang w:val="en-US"/>
              </w:rPr>
            </w:pPr>
            <w:r w:rsidRPr="0070398F">
              <w:rPr>
                <w:rStyle w:val="ftable"/>
                <w:color w:val="000000" w:themeColor="text1"/>
                <w:sz w:val="22"/>
                <w:szCs w:val="22"/>
                <w:lang w:val="en-US"/>
              </w:rPr>
              <w:t>Annually</w:t>
            </w:r>
            <w:r w:rsidR="00CF5DCC" w:rsidRPr="0070398F">
              <w:rPr>
                <w:rStyle w:val="ftable"/>
                <w:color w:val="000000" w:themeColor="text1"/>
                <w:sz w:val="22"/>
                <w:szCs w:val="22"/>
                <w:lang w:val="en-US"/>
              </w:rPr>
              <w:t xml:space="preserve"> </w:t>
            </w:r>
          </w:p>
        </w:tc>
      </w:tr>
      <w:tr w:rsidR="00A75E6E" w:rsidRPr="0070398F" w:rsidTr="00CF5DCC">
        <w:trPr>
          <w:trHeight w:val="15"/>
        </w:trPr>
        <w:tc>
          <w:tcPr>
            <w:tcW w:w="2562" w:type="pct"/>
            <w:tcBorders>
              <w:top w:val="single" w:sz="6" w:space="0" w:color="000000"/>
              <w:left w:val="single" w:sz="6" w:space="0" w:color="000000"/>
              <w:bottom w:val="single" w:sz="6" w:space="0" w:color="000000"/>
              <w:right w:val="single" w:sz="6" w:space="0" w:color="000000"/>
            </w:tcBorders>
            <w:hideMark/>
          </w:tcPr>
          <w:p w:rsidR="00A75E6E" w:rsidRPr="0070398F" w:rsidRDefault="00A75E6E" w:rsidP="00A75E6E">
            <w:pPr>
              <w:pStyle w:val="ptable"/>
              <w:spacing w:line="15" w:lineRule="atLeast"/>
              <w:ind w:left="303"/>
              <w:rPr>
                <w:color w:val="000000" w:themeColor="text1"/>
                <w:sz w:val="22"/>
                <w:szCs w:val="22"/>
                <w:lang w:val="en-US"/>
              </w:rPr>
            </w:pPr>
            <w:r w:rsidRPr="0070398F">
              <w:rPr>
                <w:rStyle w:val="ftable"/>
                <w:color w:val="000000" w:themeColor="text1"/>
                <w:sz w:val="22"/>
                <w:szCs w:val="22"/>
                <w:lang w:val="en-US"/>
              </w:rPr>
              <w:t>Statement of Profit or Loss and Other Comprehensive Income (Profit and Loss Statement) for the Period</w:t>
            </w:r>
          </w:p>
        </w:tc>
        <w:tc>
          <w:tcPr>
            <w:tcW w:w="2438" w:type="pct"/>
            <w:tcBorders>
              <w:top w:val="single" w:sz="6" w:space="0" w:color="000000"/>
              <w:left w:val="single" w:sz="6" w:space="0" w:color="000000"/>
              <w:bottom w:val="single" w:sz="6" w:space="0" w:color="000000"/>
              <w:right w:val="single" w:sz="6" w:space="0" w:color="000000"/>
            </w:tcBorders>
            <w:hideMark/>
          </w:tcPr>
          <w:p w:rsidR="00A75E6E" w:rsidRPr="0070398F" w:rsidRDefault="00A75E6E" w:rsidP="00A75E6E">
            <w:pPr>
              <w:pStyle w:val="ptable"/>
              <w:spacing w:line="15" w:lineRule="atLeast"/>
              <w:jc w:val="both"/>
              <w:rPr>
                <w:color w:val="000000" w:themeColor="text1"/>
                <w:sz w:val="22"/>
                <w:szCs w:val="22"/>
                <w:lang w:val="en-US"/>
              </w:rPr>
            </w:pPr>
            <w:r w:rsidRPr="0070398F">
              <w:rPr>
                <w:rStyle w:val="ftable"/>
                <w:color w:val="000000" w:themeColor="text1"/>
                <w:sz w:val="22"/>
                <w:szCs w:val="22"/>
                <w:lang w:val="en-US"/>
              </w:rPr>
              <w:t xml:space="preserve">Annually </w:t>
            </w:r>
          </w:p>
        </w:tc>
      </w:tr>
      <w:tr w:rsidR="00A75E6E" w:rsidRPr="0070398F" w:rsidTr="00CF5DCC">
        <w:trPr>
          <w:trHeight w:val="15"/>
        </w:trPr>
        <w:tc>
          <w:tcPr>
            <w:tcW w:w="2562" w:type="pct"/>
            <w:tcBorders>
              <w:top w:val="single" w:sz="6" w:space="0" w:color="000000"/>
              <w:left w:val="single" w:sz="6" w:space="0" w:color="000000"/>
              <w:bottom w:val="single" w:sz="6" w:space="0" w:color="000000"/>
              <w:right w:val="single" w:sz="6" w:space="0" w:color="000000"/>
            </w:tcBorders>
            <w:hideMark/>
          </w:tcPr>
          <w:p w:rsidR="00A75E6E" w:rsidRPr="0070398F" w:rsidRDefault="00A75E6E" w:rsidP="00A75E6E">
            <w:pPr>
              <w:pStyle w:val="ptable"/>
              <w:spacing w:line="15" w:lineRule="atLeast"/>
              <w:ind w:left="303"/>
              <w:rPr>
                <w:color w:val="000000" w:themeColor="text1"/>
                <w:sz w:val="22"/>
                <w:szCs w:val="22"/>
                <w:lang w:val="en-US"/>
              </w:rPr>
            </w:pPr>
            <w:r w:rsidRPr="0070398F">
              <w:rPr>
                <w:rStyle w:val="ftable"/>
                <w:color w:val="000000" w:themeColor="text1"/>
                <w:sz w:val="22"/>
                <w:szCs w:val="22"/>
                <w:lang w:val="en-US"/>
              </w:rPr>
              <w:t>Direct Cash Flow Statement for the Period</w:t>
            </w:r>
          </w:p>
        </w:tc>
        <w:tc>
          <w:tcPr>
            <w:tcW w:w="2438" w:type="pct"/>
            <w:tcBorders>
              <w:top w:val="single" w:sz="6" w:space="0" w:color="000000"/>
              <w:left w:val="single" w:sz="6" w:space="0" w:color="000000"/>
              <w:bottom w:val="single" w:sz="6" w:space="0" w:color="000000"/>
              <w:right w:val="single" w:sz="6" w:space="0" w:color="000000"/>
            </w:tcBorders>
            <w:hideMark/>
          </w:tcPr>
          <w:p w:rsidR="00A75E6E" w:rsidRPr="0070398F" w:rsidRDefault="00A75E6E" w:rsidP="00A75E6E">
            <w:pPr>
              <w:pStyle w:val="ptable"/>
              <w:spacing w:line="15" w:lineRule="atLeast"/>
              <w:jc w:val="both"/>
              <w:rPr>
                <w:color w:val="000000" w:themeColor="text1"/>
                <w:sz w:val="22"/>
                <w:szCs w:val="22"/>
                <w:lang w:val="en-US"/>
              </w:rPr>
            </w:pPr>
            <w:r w:rsidRPr="0070398F">
              <w:rPr>
                <w:rStyle w:val="ftable"/>
                <w:color w:val="000000" w:themeColor="text1"/>
                <w:sz w:val="22"/>
                <w:szCs w:val="22"/>
                <w:lang w:val="en-US"/>
              </w:rPr>
              <w:t xml:space="preserve">Annually </w:t>
            </w:r>
          </w:p>
        </w:tc>
      </w:tr>
      <w:tr w:rsidR="00A75E6E" w:rsidRPr="0070398F" w:rsidTr="00CF5DCC">
        <w:trPr>
          <w:trHeight w:val="15"/>
        </w:trPr>
        <w:tc>
          <w:tcPr>
            <w:tcW w:w="2562" w:type="pct"/>
            <w:tcBorders>
              <w:top w:val="single" w:sz="6" w:space="0" w:color="000000"/>
              <w:left w:val="single" w:sz="6" w:space="0" w:color="000000"/>
              <w:bottom w:val="single" w:sz="6" w:space="0" w:color="000000"/>
              <w:right w:val="single" w:sz="6" w:space="0" w:color="000000"/>
            </w:tcBorders>
            <w:hideMark/>
          </w:tcPr>
          <w:p w:rsidR="00A75E6E" w:rsidRPr="0070398F" w:rsidRDefault="00A75E6E" w:rsidP="00A75E6E">
            <w:pPr>
              <w:pStyle w:val="ptable"/>
              <w:spacing w:line="15" w:lineRule="atLeast"/>
              <w:ind w:left="303"/>
              <w:rPr>
                <w:color w:val="000000" w:themeColor="text1"/>
                <w:sz w:val="22"/>
                <w:szCs w:val="22"/>
                <w:lang w:val="en-US"/>
              </w:rPr>
            </w:pPr>
            <w:r w:rsidRPr="0070398F">
              <w:rPr>
                <w:rStyle w:val="ftable"/>
                <w:color w:val="000000" w:themeColor="text1"/>
                <w:sz w:val="22"/>
                <w:szCs w:val="22"/>
                <w:lang w:val="en-US"/>
              </w:rPr>
              <w:t xml:space="preserve">Accounting </w:t>
            </w:r>
            <w:r w:rsidR="0009675A">
              <w:rPr>
                <w:rStyle w:val="ftable"/>
                <w:color w:val="000000" w:themeColor="text1"/>
                <w:sz w:val="22"/>
                <w:szCs w:val="22"/>
                <w:lang w:val="en-US"/>
              </w:rPr>
              <w:t>regulations</w:t>
            </w:r>
            <w:r w:rsidRPr="0070398F">
              <w:rPr>
                <w:rStyle w:val="ftable"/>
                <w:color w:val="000000" w:themeColor="text1"/>
                <w:sz w:val="22"/>
                <w:szCs w:val="22"/>
                <w:lang w:val="en-US"/>
              </w:rPr>
              <w:t xml:space="preserve"> details, </w:t>
            </w:r>
            <w:r w:rsidR="009E09DB" w:rsidRPr="0070398F">
              <w:rPr>
                <w:rStyle w:val="ftable"/>
                <w:color w:val="000000" w:themeColor="text1"/>
                <w:sz w:val="22"/>
                <w:szCs w:val="22"/>
                <w:lang w:val="en-US"/>
              </w:rPr>
              <w:t>explanatory notes</w:t>
            </w:r>
            <w:r w:rsidRPr="0070398F">
              <w:rPr>
                <w:rStyle w:val="ftable"/>
                <w:color w:val="000000" w:themeColor="text1"/>
                <w:sz w:val="22"/>
                <w:szCs w:val="22"/>
                <w:lang w:val="en-US"/>
              </w:rPr>
              <w:t>,</w:t>
            </w:r>
            <w:r w:rsidR="009E09DB" w:rsidRPr="0070398F">
              <w:rPr>
                <w:rStyle w:val="ftable"/>
                <w:color w:val="000000" w:themeColor="text1"/>
                <w:sz w:val="22"/>
                <w:szCs w:val="22"/>
                <w:lang w:val="en-US"/>
              </w:rPr>
              <w:t xml:space="preserve"> supplementary tables, and other information</w:t>
            </w:r>
          </w:p>
        </w:tc>
        <w:tc>
          <w:tcPr>
            <w:tcW w:w="2438" w:type="pct"/>
            <w:tcBorders>
              <w:top w:val="single" w:sz="6" w:space="0" w:color="000000"/>
              <w:left w:val="single" w:sz="6" w:space="0" w:color="000000"/>
              <w:bottom w:val="single" w:sz="6" w:space="0" w:color="000000"/>
              <w:right w:val="single" w:sz="6" w:space="0" w:color="000000"/>
            </w:tcBorders>
            <w:hideMark/>
          </w:tcPr>
          <w:p w:rsidR="00A75E6E" w:rsidRPr="0070398F" w:rsidRDefault="00A75E6E" w:rsidP="00A75E6E">
            <w:pPr>
              <w:pStyle w:val="ptable"/>
              <w:spacing w:line="15" w:lineRule="atLeast"/>
              <w:jc w:val="both"/>
              <w:rPr>
                <w:color w:val="000000" w:themeColor="text1"/>
                <w:sz w:val="22"/>
                <w:szCs w:val="22"/>
                <w:lang w:val="en-US"/>
              </w:rPr>
            </w:pPr>
            <w:r w:rsidRPr="0070398F">
              <w:rPr>
                <w:rStyle w:val="ftable"/>
                <w:lang w:val="en-US"/>
              </w:rPr>
              <w:t xml:space="preserve">To </w:t>
            </w:r>
            <w:r w:rsidR="000219B9">
              <w:rPr>
                <w:rStyle w:val="ftable"/>
                <w:lang w:val="en-US"/>
              </w:rPr>
              <w:t>the f</w:t>
            </w:r>
            <w:r w:rsidRPr="0070398F">
              <w:rPr>
                <w:rStyle w:val="ftable"/>
                <w:lang w:val="en-US"/>
              </w:rPr>
              <w:t xml:space="preserve">inancial </w:t>
            </w:r>
            <w:r w:rsidR="000219B9">
              <w:rPr>
                <w:rStyle w:val="ftable"/>
                <w:lang w:val="en-US"/>
              </w:rPr>
              <w:t>s</w:t>
            </w:r>
            <w:r w:rsidRPr="0070398F">
              <w:rPr>
                <w:rStyle w:val="ftable"/>
                <w:lang w:val="en-US"/>
              </w:rPr>
              <w:t>tatements</w:t>
            </w:r>
          </w:p>
        </w:tc>
      </w:tr>
      <w:tr w:rsidR="00A75E6E" w:rsidRPr="0070398F" w:rsidTr="00F90F7D">
        <w:trPr>
          <w:trHeight w:val="15"/>
        </w:trPr>
        <w:tc>
          <w:tcPr>
            <w:tcW w:w="2562" w:type="pct"/>
            <w:tcBorders>
              <w:top w:val="single" w:sz="6" w:space="0" w:color="000000"/>
              <w:left w:val="single" w:sz="6" w:space="0" w:color="000000"/>
              <w:bottom w:val="single" w:sz="6" w:space="0" w:color="000000"/>
              <w:right w:val="single" w:sz="6" w:space="0" w:color="000000"/>
            </w:tcBorders>
            <w:shd w:val="clear" w:color="auto" w:fill="E5DFEC" w:themeFill="accent4" w:themeFillTint="33"/>
            <w:vAlign w:val="center"/>
          </w:tcPr>
          <w:p w:rsidR="00A75E6E" w:rsidRPr="0070398F" w:rsidRDefault="009E09DB" w:rsidP="00A75E6E">
            <w:pPr>
              <w:pStyle w:val="ptable"/>
              <w:spacing w:line="15" w:lineRule="atLeast"/>
              <w:ind w:left="303"/>
              <w:rPr>
                <w:color w:val="000000" w:themeColor="text1"/>
                <w:sz w:val="22"/>
                <w:szCs w:val="22"/>
                <w:lang w:val="en-US"/>
              </w:rPr>
            </w:pPr>
            <w:r w:rsidRPr="0070398F">
              <w:rPr>
                <w:rStyle w:val="ftable"/>
                <w:b/>
                <w:bCs/>
                <w:color w:val="000000" w:themeColor="text1"/>
                <w:sz w:val="22"/>
                <w:szCs w:val="22"/>
                <w:lang w:val="en-US"/>
              </w:rPr>
              <w:t xml:space="preserve">Additional statements according to the Financial Rules of the Islamic </w:t>
            </w:r>
            <w:r w:rsidR="00677085">
              <w:rPr>
                <w:rStyle w:val="ftable"/>
                <w:b/>
                <w:bCs/>
                <w:color w:val="000000" w:themeColor="text1"/>
                <w:sz w:val="22"/>
                <w:szCs w:val="22"/>
                <w:lang w:val="en-US"/>
              </w:rPr>
              <w:t>Organization</w:t>
            </w:r>
            <w:r w:rsidRPr="0070398F">
              <w:rPr>
                <w:rStyle w:val="ftable"/>
                <w:b/>
                <w:bCs/>
                <w:color w:val="000000" w:themeColor="text1"/>
                <w:sz w:val="22"/>
                <w:szCs w:val="22"/>
                <w:lang w:val="en-US"/>
              </w:rPr>
              <w:t xml:space="preserve"> for Food Security</w:t>
            </w:r>
          </w:p>
        </w:tc>
        <w:tc>
          <w:tcPr>
            <w:tcW w:w="2438" w:type="pct"/>
            <w:tcBorders>
              <w:top w:val="single" w:sz="6" w:space="0" w:color="000000"/>
              <w:left w:val="single" w:sz="6" w:space="0" w:color="000000"/>
              <w:bottom w:val="single" w:sz="6" w:space="0" w:color="000000"/>
              <w:right w:val="single" w:sz="6" w:space="0" w:color="000000"/>
            </w:tcBorders>
            <w:shd w:val="clear" w:color="auto" w:fill="E5DFEC" w:themeFill="accent4" w:themeFillTint="33"/>
            <w:vAlign w:val="center"/>
          </w:tcPr>
          <w:p w:rsidR="00A75E6E" w:rsidRPr="0070398F" w:rsidRDefault="00A75E6E" w:rsidP="00A75E6E">
            <w:pPr>
              <w:pStyle w:val="ptable"/>
              <w:spacing w:line="15" w:lineRule="atLeast"/>
              <w:jc w:val="both"/>
              <w:rPr>
                <w:color w:val="000000" w:themeColor="text1"/>
                <w:sz w:val="22"/>
                <w:szCs w:val="22"/>
                <w:lang w:val="en-US"/>
              </w:rPr>
            </w:pPr>
            <w:r w:rsidRPr="0070398F">
              <w:rPr>
                <w:rStyle w:val="ftable"/>
                <w:b/>
                <w:bCs/>
                <w:color w:val="000000" w:themeColor="text1"/>
                <w:sz w:val="22"/>
                <w:szCs w:val="22"/>
                <w:lang w:val="en-US"/>
              </w:rPr>
              <w:t>Frequency of Statements</w:t>
            </w:r>
          </w:p>
        </w:tc>
      </w:tr>
      <w:tr w:rsidR="00A75E6E" w:rsidRPr="0070398F" w:rsidTr="00CF5DCC">
        <w:trPr>
          <w:trHeight w:val="15"/>
        </w:trPr>
        <w:tc>
          <w:tcPr>
            <w:tcW w:w="2562" w:type="pct"/>
            <w:tcBorders>
              <w:top w:val="single" w:sz="6" w:space="0" w:color="000000"/>
              <w:left w:val="single" w:sz="6" w:space="0" w:color="000000"/>
              <w:bottom w:val="single" w:sz="6" w:space="0" w:color="000000"/>
              <w:right w:val="single" w:sz="6" w:space="0" w:color="000000"/>
            </w:tcBorders>
          </w:tcPr>
          <w:p w:rsidR="00A75E6E" w:rsidRPr="0070398F" w:rsidRDefault="00390C58" w:rsidP="00A75E6E">
            <w:pPr>
              <w:pStyle w:val="ptable"/>
              <w:spacing w:line="15" w:lineRule="atLeast"/>
              <w:ind w:left="303"/>
              <w:rPr>
                <w:rStyle w:val="ftable"/>
                <w:color w:val="000000" w:themeColor="text1"/>
                <w:sz w:val="22"/>
                <w:szCs w:val="22"/>
                <w:lang w:val="en-US"/>
              </w:rPr>
            </w:pPr>
            <w:r w:rsidRPr="0070398F">
              <w:rPr>
                <w:rStyle w:val="ftable"/>
                <w:color w:val="000000" w:themeColor="text1"/>
                <w:sz w:val="22"/>
                <w:szCs w:val="22"/>
                <w:lang w:val="en-US"/>
              </w:rPr>
              <w:t>Statement of assessed contributions received from Member States</w:t>
            </w:r>
          </w:p>
        </w:tc>
        <w:tc>
          <w:tcPr>
            <w:tcW w:w="2438" w:type="pct"/>
            <w:tcBorders>
              <w:top w:val="single" w:sz="6" w:space="0" w:color="000000"/>
              <w:left w:val="single" w:sz="6" w:space="0" w:color="000000"/>
              <w:bottom w:val="single" w:sz="6" w:space="0" w:color="000000"/>
              <w:right w:val="single" w:sz="6" w:space="0" w:color="000000"/>
            </w:tcBorders>
          </w:tcPr>
          <w:p w:rsidR="00A75E6E" w:rsidRPr="0070398F" w:rsidRDefault="00A75E6E" w:rsidP="00A75E6E">
            <w:pPr>
              <w:pStyle w:val="ptable"/>
              <w:spacing w:line="15" w:lineRule="atLeast"/>
              <w:jc w:val="both"/>
              <w:rPr>
                <w:color w:val="000000" w:themeColor="text1"/>
                <w:sz w:val="22"/>
                <w:szCs w:val="22"/>
                <w:lang w:val="en-US"/>
              </w:rPr>
            </w:pPr>
            <w:r w:rsidRPr="0070398F">
              <w:rPr>
                <w:rStyle w:val="ftable"/>
                <w:color w:val="000000" w:themeColor="text1"/>
                <w:sz w:val="22"/>
                <w:szCs w:val="22"/>
                <w:lang w:val="en-US"/>
              </w:rPr>
              <w:t xml:space="preserve">Annually </w:t>
            </w:r>
          </w:p>
        </w:tc>
      </w:tr>
      <w:tr w:rsidR="00A75E6E" w:rsidRPr="0070398F" w:rsidTr="00CF5DCC">
        <w:trPr>
          <w:trHeight w:val="15"/>
        </w:trPr>
        <w:tc>
          <w:tcPr>
            <w:tcW w:w="2562" w:type="pct"/>
            <w:tcBorders>
              <w:top w:val="single" w:sz="6" w:space="0" w:color="000000"/>
              <w:left w:val="single" w:sz="6" w:space="0" w:color="000000"/>
              <w:bottom w:val="single" w:sz="6" w:space="0" w:color="000000"/>
              <w:right w:val="single" w:sz="6" w:space="0" w:color="000000"/>
            </w:tcBorders>
          </w:tcPr>
          <w:p w:rsidR="00A75E6E" w:rsidRPr="0070398F" w:rsidRDefault="00390C58" w:rsidP="00A75E6E">
            <w:pPr>
              <w:pStyle w:val="ptable"/>
              <w:spacing w:line="15" w:lineRule="atLeast"/>
              <w:ind w:left="303"/>
              <w:rPr>
                <w:rStyle w:val="ftable"/>
                <w:color w:val="000000" w:themeColor="text1"/>
                <w:sz w:val="22"/>
                <w:szCs w:val="22"/>
                <w:lang w:val="en-US"/>
              </w:rPr>
            </w:pPr>
            <w:r w:rsidRPr="0070398F">
              <w:rPr>
                <w:rStyle w:val="ftable"/>
                <w:color w:val="000000" w:themeColor="text1"/>
                <w:sz w:val="22"/>
                <w:szCs w:val="22"/>
                <w:lang w:val="en-US"/>
              </w:rPr>
              <w:t>Statement of accounts receivable and payable</w:t>
            </w:r>
          </w:p>
        </w:tc>
        <w:tc>
          <w:tcPr>
            <w:tcW w:w="2438" w:type="pct"/>
            <w:tcBorders>
              <w:top w:val="single" w:sz="6" w:space="0" w:color="000000"/>
              <w:left w:val="single" w:sz="6" w:space="0" w:color="000000"/>
              <w:bottom w:val="single" w:sz="6" w:space="0" w:color="000000"/>
              <w:right w:val="single" w:sz="6" w:space="0" w:color="000000"/>
            </w:tcBorders>
          </w:tcPr>
          <w:p w:rsidR="00A75E6E" w:rsidRPr="0070398F" w:rsidRDefault="00A75E6E" w:rsidP="00A75E6E">
            <w:pPr>
              <w:pStyle w:val="ptable"/>
              <w:spacing w:line="15" w:lineRule="atLeast"/>
              <w:jc w:val="both"/>
              <w:rPr>
                <w:color w:val="000000" w:themeColor="text1"/>
                <w:sz w:val="22"/>
                <w:szCs w:val="22"/>
                <w:lang w:val="en-US"/>
              </w:rPr>
            </w:pPr>
            <w:r w:rsidRPr="0070398F">
              <w:rPr>
                <w:rStyle w:val="ftable"/>
                <w:color w:val="000000" w:themeColor="text1"/>
                <w:sz w:val="22"/>
                <w:szCs w:val="22"/>
                <w:lang w:val="en-US"/>
              </w:rPr>
              <w:t xml:space="preserve">Annually </w:t>
            </w:r>
          </w:p>
        </w:tc>
      </w:tr>
      <w:tr w:rsidR="00A75E6E" w:rsidRPr="0070398F" w:rsidTr="00CF5DCC">
        <w:trPr>
          <w:trHeight w:val="15"/>
        </w:trPr>
        <w:tc>
          <w:tcPr>
            <w:tcW w:w="2562" w:type="pct"/>
            <w:tcBorders>
              <w:top w:val="single" w:sz="6" w:space="0" w:color="000000"/>
              <w:left w:val="single" w:sz="6" w:space="0" w:color="000000"/>
              <w:bottom w:val="single" w:sz="6" w:space="0" w:color="000000"/>
              <w:right w:val="single" w:sz="6" w:space="0" w:color="000000"/>
            </w:tcBorders>
          </w:tcPr>
          <w:p w:rsidR="00A75E6E" w:rsidRPr="0070398F" w:rsidRDefault="00390C58" w:rsidP="00A75E6E">
            <w:pPr>
              <w:pStyle w:val="ptable"/>
              <w:spacing w:line="15" w:lineRule="atLeast"/>
              <w:ind w:left="303"/>
              <w:rPr>
                <w:rStyle w:val="ftable"/>
                <w:color w:val="000000" w:themeColor="text1"/>
                <w:sz w:val="22"/>
                <w:szCs w:val="22"/>
                <w:lang w:val="en-US"/>
              </w:rPr>
            </w:pPr>
            <w:r w:rsidRPr="0070398F">
              <w:rPr>
                <w:rStyle w:val="ftable"/>
                <w:color w:val="000000" w:themeColor="text1"/>
                <w:sz w:val="22"/>
                <w:szCs w:val="22"/>
                <w:lang w:val="en-US"/>
              </w:rPr>
              <w:t>Statement of actual expenses (by items) compared to the approved budget allocation</w:t>
            </w:r>
          </w:p>
        </w:tc>
        <w:tc>
          <w:tcPr>
            <w:tcW w:w="2438" w:type="pct"/>
            <w:tcBorders>
              <w:top w:val="single" w:sz="6" w:space="0" w:color="000000"/>
              <w:left w:val="single" w:sz="6" w:space="0" w:color="000000"/>
              <w:bottom w:val="single" w:sz="6" w:space="0" w:color="000000"/>
              <w:right w:val="single" w:sz="6" w:space="0" w:color="000000"/>
            </w:tcBorders>
          </w:tcPr>
          <w:p w:rsidR="00A75E6E" w:rsidRPr="0070398F" w:rsidRDefault="00A75E6E" w:rsidP="00A75E6E">
            <w:pPr>
              <w:pStyle w:val="ptable"/>
              <w:spacing w:line="15" w:lineRule="atLeast"/>
              <w:jc w:val="both"/>
              <w:rPr>
                <w:color w:val="000000" w:themeColor="text1"/>
                <w:sz w:val="22"/>
                <w:szCs w:val="22"/>
                <w:lang w:val="en-US"/>
              </w:rPr>
            </w:pPr>
            <w:r w:rsidRPr="0070398F">
              <w:rPr>
                <w:rStyle w:val="ftable"/>
                <w:color w:val="000000" w:themeColor="text1"/>
                <w:sz w:val="22"/>
                <w:szCs w:val="22"/>
                <w:lang w:val="en-US"/>
              </w:rPr>
              <w:t xml:space="preserve">Annually </w:t>
            </w:r>
          </w:p>
        </w:tc>
      </w:tr>
      <w:tr w:rsidR="00A75E6E" w:rsidRPr="0070398F" w:rsidTr="00CF5DCC">
        <w:trPr>
          <w:trHeight w:val="15"/>
        </w:trPr>
        <w:tc>
          <w:tcPr>
            <w:tcW w:w="2562" w:type="pct"/>
            <w:tcBorders>
              <w:top w:val="single" w:sz="6" w:space="0" w:color="000000"/>
              <w:left w:val="single" w:sz="6" w:space="0" w:color="000000"/>
              <w:bottom w:val="single" w:sz="6" w:space="0" w:color="000000"/>
              <w:right w:val="single" w:sz="6" w:space="0" w:color="000000"/>
            </w:tcBorders>
          </w:tcPr>
          <w:p w:rsidR="00A75E6E" w:rsidRPr="0070398F" w:rsidRDefault="00390C58" w:rsidP="00A75E6E">
            <w:pPr>
              <w:pStyle w:val="ptable"/>
              <w:spacing w:line="15" w:lineRule="atLeast"/>
              <w:ind w:left="303"/>
              <w:rPr>
                <w:rStyle w:val="ftable"/>
                <w:color w:val="000000" w:themeColor="text1"/>
                <w:sz w:val="22"/>
                <w:szCs w:val="22"/>
                <w:lang w:val="en-US"/>
              </w:rPr>
            </w:pPr>
            <w:r w:rsidRPr="0070398F">
              <w:rPr>
                <w:rStyle w:val="ftable"/>
                <w:color w:val="000000" w:themeColor="text1"/>
                <w:sz w:val="22"/>
                <w:szCs w:val="22"/>
                <w:lang w:val="en-US"/>
              </w:rPr>
              <w:t>Consolidated list of fixed assets</w:t>
            </w:r>
          </w:p>
        </w:tc>
        <w:tc>
          <w:tcPr>
            <w:tcW w:w="2438" w:type="pct"/>
            <w:tcBorders>
              <w:top w:val="single" w:sz="6" w:space="0" w:color="000000"/>
              <w:left w:val="single" w:sz="6" w:space="0" w:color="000000"/>
              <w:bottom w:val="single" w:sz="6" w:space="0" w:color="000000"/>
              <w:right w:val="single" w:sz="6" w:space="0" w:color="000000"/>
            </w:tcBorders>
          </w:tcPr>
          <w:p w:rsidR="00A75E6E" w:rsidRPr="0070398F" w:rsidRDefault="00A75E6E" w:rsidP="00A75E6E">
            <w:pPr>
              <w:pStyle w:val="ptable"/>
              <w:spacing w:line="15" w:lineRule="atLeast"/>
              <w:jc w:val="both"/>
              <w:rPr>
                <w:color w:val="000000" w:themeColor="text1"/>
                <w:sz w:val="22"/>
                <w:szCs w:val="22"/>
                <w:lang w:val="en-US"/>
              </w:rPr>
            </w:pPr>
            <w:r w:rsidRPr="0070398F">
              <w:rPr>
                <w:rStyle w:val="ftable"/>
                <w:color w:val="000000" w:themeColor="text1"/>
                <w:sz w:val="22"/>
                <w:szCs w:val="22"/>
                <w:lang w:val="en-US"/>
              </w:rPr>
              <w:t xml:space="preserve">Annually </w:t>
            </w:r>
          </w:p>
        </w:tc>
      </w:tr>
      <w:tr w:rsidR="00A75E6E" w:rsidRPr="0070398F" w:rsidTr="00CF5DCC">
        <w:trPr>
          <w:trHeight w:val="15"/>
        </w:trPr>
        <w:tc>
          <w:tcPr>
            <w:tcW w:w="2562" w:type="pct"/>
            <w:tcBorders>
              <w:top w:val="single" w:sz="6" w:space="0" w:color="000000"/>
              <w:left w:val="single" w:sz="6" w:space="0" w:color="000000"/>
              <w:bottom w:val="single" w:sz="6" w:space="0" w:color="000000"/>
              <w:right w:val="single" w:sz="6" w:space="0" w:color="000000"/>
            </w:tcBorders>
          </w:tcPr>
          <w:p w:rsidR="00A75E6E" w:rsidRPr="0070398F" w:rsidRDefault="00390C58" w:rsidP="00A75E6E">
            <w:pPr>
              <w:pStyle w:val="ptable"/>
              <w:spacing w:line="15" w:lineRule="atLeast"/>
              <w:ind w:left="303"/>
              <w:rPr>
                <w:rStyle w:val="ftable"/>
                <w:color w:val="000000" w:themeColor="text1"/>
                <w:sz w:val="22"/>
                <w:szCs w:val="22"/>
                <w:lang w:val="en-US"/>
              </w:rPr>
            </w:pPr>
            <w:r w:rsidRPr="0070398F">
              <w:rPr>
                <w:rStyle w:val="ftable"/>
                <w:color w:val="000000" w:themeColor="text1"/>
                <w:sz w:val="22"/>
                <w:szCs w:val="22"/>
                <w:lang w:val="en-US"/>
              </w:rPr>
              <w:t xml:space="preserve">List of outstanding </w:t>
            </w:r>
            <w:r w:rsidR="00FB74AD" w:rsidRPr="0070398F">
              <w:rPr>
                <w:rStyle w:val="ftable"/>
                <w:color w:val="000000" w:themeColor="text1"/>
                <w:sz w:val="22"/>
                <w:szCs w:val="22"/>
                <w:lang w:val="en-US"/>
              </w:rPr>
              <w:t>assessed contributions of Member States</w:t>
            </w:r>
          </w:p>
        </w:tc>
        <w:tc>
          <w:tcPr>
            <w:tcW w:w="2438" w:type="pct"/>
            <w:tcBorders>
              <w:top w:val="single" w:sz="6" w:space="0" w:color="000000"/>
              <w:left w:val="single" w:sz="6" w:space="0" w:color="000000"/>
              <w:bottom w:val="single" w:sz="6" w:space="0" w:color="000000"/>
              <w:right w:val="single" w:sz="6" w:space="0" w:color="000000"/>
            </w:tcBorders>
          </w:tcPr>
          <w:p w:rsidR="00A75E6E" w:rsidRPr="0070398F" w:rsidRDefault="00A75E6E" w:rsidP="00A75E6E">
            <w:pPr>
              <w:pStyle w:val="ptable"/>
              <w:spacing w:line="15" w:lineRule="atLeast"/>
              <w:jc w:val="both"/>
              <w:rPr>
                <w:color w:val="000000" w:themeColor="text1"/>
                <w:sz w:val="22"/>
                <w:szCs w:val="22"/>
                <w:lang w:val="en-US"/>
              </w:rPr>
            </w:pPr>
            <w:r w:rsidRPr="0070398F">
              <w:rPr>
                <w:rStyle w:val="ftable"/>
                <w:color w:val="000000" w:themeColor="text1"/>
                <w:sz w:val="22"/>
                <w:szCs w:val="22"/>
                <w:lang w:val="en-US"/>
              </w:rPr>
              <w:t xml:space="preserve">Annually </w:t>
            </w:r>
          </w:p>
        </w:tc>
      </w:tr>
      <w:tr w:rsidR="00A75E6E" w:rsidRPr="0070398F" w:rsidTr="00CF5DCC">
        <w:trPr>
          <w:trHeight w:val="15"/>
        </w:trPr>
        <w:tc>
          <w:tcPr>
            <w:tcW w:w="2562" w:type="pct"/>
            <w:tcBorders>
              <w:top w:val="single" w:sz="6" w:space="0" w:color="000000"/>
              <w:left w:val="single" w:sz="6" w:space="0" w:color="000000"/>
              <w:bottom w:val="single" w:sz="6" w:space="0" w:color="000000"/>
              <w:right w:val="single" w:sz="6" w:space="0" w:color="000000"/>
            </w:tcBorders>
          </w:tcPr>
          <w:p w:rsidR="00A75E6E" w:rsidRPr="0070398F" w:rsidRDefault="00FB74AD" w:rsidP="00A75E6E">
            <w:pPr>
              <w:pStyle w:val="ptable"/>
              <w:spacing w:line="15" w:lineRule="atLeast"/>
              <w:ind w:left="303"/>
              <w:rPr>
                <w:rStyle w:val="ftable"/>
                <w:color w:val="000000" w:themeColor="text1"/>
                <w:sz w:val="22"/>
                <w:szCs w:val="22"/>
                <w:lang w:val="en-US"/>
              </w:rPr>
            </w:pPr>
            <w:r w:rsidRPr="0070398F">
              <w:rPr>
                <w:rStyle w:val="ftable"/>
                <w:color w:val="000000" w:themeColor="text1"/>
                <w:sz w:val="22"/>
                <w:szCs w:val="22"/>
                <w:lang w:val="en-US"/>
              </w:rPr>
              <w:t>Statement of financial condition on special accounts</w:t>
            </w:r>
          </w:p>
        </w:tc>
        <w:tc>
          <w:tcPr>
            <w:tcW w:w="2438" w:type="pct"/>
            <w:tcBorders>
              <w:top w:val="single" w:sz="6" w:space="0" w:color="000000"/>
              <w:left w:val="single" w:sz="6" w:space="0" w:color="000000"/>
              <w:bottom w:val="single" w:sz="6" w:space="0" w:color="000000"/>
              <w:right w:val="single" w:sz="6" w:space="0" w:color="000000"/>
            </w:tcBorders>
          </w:tcPr>
          <w:p w:rsidR="00A75E6E" w:rsidRPr="0070398F" w:rsidRDefault="00A75E6E" w:rsidP="00A75E6E">
            <w:pPr>
              <w:pStyle w:val="ptable"/>
              <w:spacing w:line="15" w:lineRule="atLeast"/>
              <w:jc w:val="both"/>
              <w:rPr>
                <w:color w:val="000000" w:themeColor="text1"/>
                <w:sz w:val="22"/>
                <w:szCs w:val="22"/>
                <w:lang w:val="en-US"/>
              </w:rPr>
            </w:pPr>
            <w:r w:rsidRPr="0070398F">
              <w:rPr>
                <w:rStyle w:val="ftable"/>
                <w:color w:val="000000" w:themeColor="text1"/>
                <w:sz w:val="22"/>
                <w:szCs w:val="22"/>
                <w:lang w:val="en-US"/>
              </w:rPr>
              <w:t xml:space="preserve">Annually </w:t>
            </w:r>
          </w:p>
        </w:tc>
      </w:tr>
    </w:tbl>
    <w:p w:rsidR="00675959" w:rsidRPr="0070398F" w:rsidRDefault="00675959" w:rsidP="004F24CC">
      <w:pPr>
        <w:pStyle w:val="2"/>
        <w:spacing w:before="240" w:after="240"/>
        <w:rPr>
          <w:lang w:val="en-US"/>
        </w:rPr>
      </w:pPr>
      <w:r w:rsidRPr="0070398F">
        <w:rPr>
          <w:lang w:val="en-US"/>
        </w:rPr>
        <w:lastRenderedPageBreak/>
        <w:t xml:space="preserve">2.2. </w:t>
      </w:r>
      <w:r w:rsidR="001A1C9C" w:rsidRPr="0070398F">
        <w:rPr>
          <w:lang w:val="en-US"/>
        </w:rPr>
        <w:t xml:space="preserve">Income from </w:t>
      </w:r>
      <w:r w:rsidR="004460C9" w:rsidRPr="0070398F">
        <w:rPr>
          <w:lang w:val="en-US"/>
        </w:rPr>
        <w:t>Government Grants</w:t>
      </w:r>
      <w:r w:rsidR="001A1C9C" w:rsidRPr="0070398F">
        <w:rPr>
          <w:lang w:val="en-US"/>
        </w:rPr>
        <w:t xml:space="preserve"> and Unearned Income</w:t>
      </w:r>
    </w:p>
    <w:p w:rsidR="00416917" w:rsidRPr="0070398F" w:rsidRDefault="00416917" w:rsidP="00416917">
      <w:pPr>
        <w:spacing w:before="120" w:after="120"/>
        <w:jc w:val="both"/>
        <w:rPr>
          <w:lang w:val="en-US"/>
        </w:rPr>
      </w:pPr>
      <w:r w:rsidRPr="0070398F">
        <w:rPr>
          <w:b/>
          <w:lang w:val="en-US"/>
        </w:rPr>
        <w:t xml:space="preserve"> “</w:t>
      </w:r>
      <w:r w:rsidR="004460C9" w:rsidRPr="0070398F">
        <w:rPr>
          <w:b/>
          <w:lang w:val="en-US"/>
        </w:rPr>
        <w:t>Government</w:t>
      </w:r>
      <w:r w:rsidRPr="0070398F">
        <w:rPr>
          <w:b/>
          <w:lang w:val="en-US"/>
        </w:rPr>
        <w:t>”</w:t>
      </w:r>
      <w:r w:rsidRPr="0070398F">
        <w:rPr>
          <w:lang w:val="en-US"/>
        </w:rPr>
        <w:t xml:space="preserve"> means </w:t>
      </w:r>
      <w:r w:rsidR="00E61971">
        <w:rPr>
          <w:lang w:val="en-US"/>
        </w:rPr>
        <w:t>a</w:t>
      </w:r>
      <w:r w:rsidRPr="0070398F">
        <w:rPr>
          <w:lang w:val="en-US"/>
        </w:rPr>
        <w:t xml:space="preserve"> government, governments of Member States of the Organization of Islamic Cooperation and similar authorities, whether they are local, national or international.</w:t>
      </w:r>
    </w:p>
    <w:p w:rsidR="00416917" w:rsidRPr="0070398F" w:rsidRDefault="00416917" w:rsidP="00416917">
      <w:pPr>
        <w:spacing w:before="120" w:after="120"/>
        <w:jc w:val="both"/>
        <w:rPr>
          <w:lang w:val="en-US"/>
        </w:rPr>
      </w:pPr>
      <w:r w:rsidRPr="0070398F">
        <w:rPr>
          <w:b/>
          <w:lang w:val="en-US"/>
        </w:rPr>
        <w:t>“</w:t>
      </w:r>
      <w:r w:rsidR="004460C9" w:rsidRPr="0070398F">
        <w:rPr>
          <w:b/>
          <w:lang w:val="en-US"/>
        </w:rPr>
        <w:t>Government grants</w:t>
      </w:r>
      <w:r w:rsidRPr="0070398F">
        <w:rPr>
          <w:b/>
          <w:lang w:val="en-US"/>
        </w:rPr>
        <w:t>”</w:t>
      </w:r>
      <w:r w:rsidRPr="0070398F">
        <w:rPr>
          <w:lang w:val="en-US"/>
        </w:rPr>
        <w:t xml:space="preserve"> shall mean assistance provided by the </w:t>
      </w:r>
      <w:r w:rsidR="00E07C43">
        <w:rPr>
          <w:lang w:val="en-US"/>
        </w:rPr>
        <w:t>government</w:t>
      </w:r>
      <w:r w:rsidRPr="0070398F">
        <w:rPr>
          <w:lang w:val="en-US"/>
        </w:rPr>
        <w:t xml:space="preserve"> in the form of transferring resources to an organization in exchange for past or future compliance with certain conditions related to the organization’s operations. </w:t>
      </w:r>
      <w:r w:rsidR="004460C9" w:rsidRPr="0070398F">
        <w:rPr>
          <w:lang w:val="en-US"/>
        </w:rPr>
        <w:t>Government grants</w:t>
      </w:r>
      <w:r w:rsidRPr="0070398F">
        <w:rPr>
          <w:lang w:val="en-US"/>
        </w:rPr>
        <w:t xml:space="preserve"> do not include the forms of state assistance </w:t>
      </w:r>
      <w:r w:rsidR="002A1678" w:rsidRPr="0070398F">
        <w:rPr>
          <w:lang w:val="en-US"/>
        </w:rPr>
        <w:t xml:space="preserve">with a </w:t>
      </w:r>
      <w:r w:rsidRPr="0070398F">
        <w:rPr>
          <w:lang w:val="en-US"/>
        </w:rPr>
        <w:t>value</w:t>
      </w:r>
      <w:r w:rsidR="002A1678" w:rsidRPr="0070398F">
        <w:rPr>
          <w:lang w:val="en-US"/>
        </w:rPr>
        <w:t xml:space="preserve">, which </w:t>
      </w:r>
      <w:r w:rsidRPr="0070398F">
        <w:rPr>
          <w:lang w:val="en-US"/>
        </w:rPr>
        <w:t xml:space="preserve">cannot be reasonably estimated, </w:t>
      </w:r>
      <w:r w:rsidR="002A1678" w:rsidRPr="0070398F">
        <w:rPr>
          <w:lang w:val="en-US"/>
        </w:rPr>
        <w:t>and</w:t>
      </w:r>
      <w:r w:rsidRPr="0070398F">
        <w:rPr>
          <w:lang w:val="en-US"/>
        </w:rPr>
        <w:t xml:space="preserve"> </w:t>
      </w:r>
      <w:r w:rsidR="002A1678" w:rsidRPr="0070398F">
        <w:rPr>
          <w:lang w:val="en-US"/>
        </w:rPr>
        <w:t xml:space="preserve">the </w:t>
      </w:r>
      <w:r w:rsidRPr="0070398F">
        <w:rPr>
          <w:lang w:val="en-US"/>
        </w:rPr>
        <w:t>transactions with the state</w:t>
      </w:r>
      <w:r w:rsidR="002A1678" w:rsidRPr="0070398F">
        <w:rPr>
          <w:lang w:val="en-US"/>
        </w:rPr>
        <w:t>, which</w:t>
      </w:r>
      <w:r w:rsidRPr="0070398F">
        <w:rPr>
          <w:lang w:val="en-US"/>
        </w:rPr>
        <w:t xml:space="preserve"> cannot be distinguished from the </w:t>
      </w:r>
      <w:r w:rsidR="002A1678" w:rsidRPr="0070398F">
        <w:rPr>
          <w:lang w:val="en-US"/>
        </w:rPr>
        <w:t>normal</w:t>
      </w:r>
      <w:r w:rsidRPr="0070398F">
        <w:rPr>
          <w:lang w:val="en-US"/>
        </w:rPr>
        <w:t xml:space="preserve"> commercial operations of an organization.</w:t>
      </w:r>
    </w:p>
    <w:p w:rsidR="00C145EA" w:rsidRPr="0070398F" w:rsidRDefault="0099050A" w:rsidP="00C145EA">
      <w:pPr>
        <w:spacing w:before="120" w:after="120"/>
        <w:jc w:val="both"/>
        <w:rPr>
          <w:b/>
          <w:lang w:val="en-US"/>
        </w:rPr>
      </w:pPr>
      <w:r w:rsidRPr="0070398F">
        <w:rPr>
          <w:b/>
          <w:lang w:val="en-US"/>
        </w:rPr>
        <w:t xml:space="preserve">2.2.1. </w:t>
      </w:r>
      <w:r w:rsidR="00E21888" w:rsidRPr="0070398F">
        <w:rPr>
          <w:b/>
          <w:lang w:val="en-US"/>
        </w:rPr>
        <w:t>T</w:t>
      </w:r>
      <w:r w:rsidR="00915F49" w:rsidRPr="0070398F">
        <w:rPr>
          <w:b/>
          <w:lang w:val="en-US"/>
        </w:rPr>
        <w:t>he Organization’s</w:t>
      </w:r>
      <w:r w:rsidR="00C145EA" w:rsidRPr="0070398F">
        <w:rPr>
          <w:b/>
          <w:lang w:val="en-US"/>
        </w:rPr>
        <w:t xml:space="preserve"> </w:t>
      </w:r>
      <w:r w:rsidR="00E21888" w:rsidRPr="0070398F">
        <w:rPr>
          <w:b/>
          <w:lang w:val="en-US"/>
        </w:rPr>
        <w:t>financial resources include</w:t>
      </w:r>
      <w:r w:rsidR="00C145EA" w:rsidRPr="0070398F">
        <w:rPr>
          <w:b/>
          <w:lang w:val="en-US"/>
        </w:rPr>
        <w:t>:</w:t>
      </w:r>
    </w:p>
    <w:p w:rsidR="008F1817" w:rsidRPr="0070398F" w:rsidRDefault="008F1817" w:rsidP="008F1817">
      <w:pPr>
        <w:spacing w:before="120" w:after="120"/>
        <w:jc w:val="both"/>
        <w:rPr>
          <w:lang w:val="en-US"/>
        </w:rPr>
      </w:pPr>
      <w:r w:rsidRPr="0070398F">
        <w:rPr>
          <w:lang w:val="en-US"/>
        </w:rPr>
        <w:t>(a) annual assessed contributions received by the Organization from Member States and approved by the General Assembly;</w:t>
      </w:r>
    </w:p>
    <w:p w:rsidR="008F1817" w:rsidRPr="0070398F" w:rsidRDefault="008F1817" w:rsidP="008F1817">
      <w:pPr>
        <w:spacing w:before="120" w:after="120"/>
        <w:jc w:val="both"/>
        <w:rPr>
          <w:lang w:val="en-US"/>
        </w:rPr>
      </w:pPr>
      <w:r w:rsidRPr="0070398F">
        <w:rPr>
          <w:lang w:val="en-US"/>
        </w:rPr>
        <w:t>(b) donations and voluntary contributions from Member States, non-Member States, institutions and partners, provided that contributions from all external sources are not in conflict with the goals and rules of the Organization;</w:t>
      </w:r>
    </w:p>
    <w:p w:rsidR="008F1817" w:rsidRPr="0070398F" w:rsidRDefault="008F1817" w:rsidP="008F1817">
      <w:pPr>
        <w:spacing w:before="120" w:after="120"/>
        <w:jc w:val="both"/>
        <w:rPr>
          <w:lang w:val="en-US"/>
        </w:rPr>
      </w:pPr>
      <w:r w:rsidRPr="0070398F">
        <w:rPr>
          <w:lang w:val="en-US"/>
        </w:rPr>
        <w:t>(c) fundraising from Member States and international organizations for special projects of the Organization;</w:t>
      </w:r>
    </w:p>
    <w:p w:rsidR="008F1817" w:rsidRPr="0070398F" w:rsidRDefault="008F1817" w:rsidP="008F1817">
      <w:pPr>
        <w:spacing w:before="120" w:after="120"/>
        <w:jc w:val="both"/>
        <w:rPr>
          <w:lang w:val="en-US"/>
        </w:rPr>
      </w:pPr>
      <w:r w:rsidRPr="0070398F">
        <w:rPr>
          <w:lang w:val="en-US"/>
        </w:rPr>
        <w:t>(d) proceeds from the sale of publications, products, services within the Organization’s competence; and</w:t>
      </w:r>
    </w:p>
    <w:p w:rsidR="008F1817" w:rsidRPr="0070398F" w:rsidRDefault="008F1817" w:rsidP="008F1817">
      <w:pPr>
        <w:spacing w:before="120" w:after="120"/>
        <w:jc w:val="both"/>
        <w:rPr>
          <w:lang w:val="en-US"/>
        </w:rPr>
      </w:pPr>
      <w:r w:rsidRPr="0070398F">
        <w:rPr>
          <w:lang w:val="en-US"/>
        </w:rPr>
        <w:t xml:space="preserve">(e) Member States are expected to make contributions to the budget in accordance with the grading scale used by </w:t>
      </w:r>
      <w:proofErr w:type="spellStart"/>
      <w:r w:rsidRPr="0070398F">
        <w:rPr>
          <w:lang w:val="en-US"/>
        </w:rPr>
        <w:t>OIC</w:t>
      </w:r>
      <w:proofErr w:type="spellEnd"/>
      <w:r w:rsidRPr="0070398F">
        <w:rPr>
          <w:lang w:val="en-US"/>
        </w:rPr>
        <w:t xml:space="preserve"> or a different formula approved by the General Assembly. </w:t>
      </w:r>
    </w:p>
    <w:p w:rsidR="00C85376" w:rsidRPr="0070398F" w:rsidRDefault="00C85376" w:rsidP="00C85376">
      <w:pPr>
        <w:spacing w:before="120" w:after="120"/>
        <w:jc w:val="both"/>
        <w:rPr>
          <w:b/>
          <w:lang w:val="en-US"/>
        </w:rPr>
      </w:pPr>
      <w:r w:rsidRPr="0070398F">
        <w:rPr>
          <w:b/>
          <w:lang w:val="en-US"/>
        </w:rPr>
        <w:t>2.2.</w:t>
      </w:r>
      <w:r w:rsidR="00A046D4" w:rsidRPr="0070398F">
        <w:rPr>
          <w:b/>
          <w:lang w:val="en-US"/>
        </w:rPr>
        <w:t>2</w:t>
      </w:r>
      <w:r w:rsidRPr="0070398F">
        <w:rPr>
          <w:b/>
          <w:lang w:val="en-US"/>
        </w:rPr>
        <w:t xml:space="preserve">. </w:t>
      </w:r>
      <w:r w:rsidR="004460C9" w:rsidRPr="0070398F">
        <w:rPr>
          <w:b/>
          <w:lang w:val="en-US"/>
        </w:rPr>
        <w:t>Presentation of income-related grants</w:t>
      </w:r>
      <w:r w:rsidRPr="0070398F">
        <w:rPr>
          <w:b/>
          <w:lang w:val="en-US"/>
        </w:rPr>
        <w:t xml:space="preserve"> </w:t>
      </w:r>
    </w:p>
    <w:p w:rsidR="00CD5219" w:rsidRPr="0070398F" w:rsidRDefault="004460C9" w:rsidP="00C85376">
      <w:pPr>
        <w:spacing w:before="120" w:after="120"/>
        <w:jc w:val="both"/>
        <w:rPr>
          <w:lang w:val="en-US"/>
        </w:rPr>
      </w:pPr>
      <w:r w:rsidRPr="0070398F">
        <w:rPr>
          <w:lang w:val="en-US"/>
        </w:rPr>
        <w:t xml:space="preserve">Income-related grants are presented as part of profit or loss </w:t>
      </w:r>
      <w:r w:rsidR="002C5E59" w:rsidRPr="0070398F">
        <w:rPr>
          <w:lang w:val="en-US"/>
        </w:rPr>
        <w:t>accounted for</w:t>
      </w:r>
      <w:r w:rsidRPr="0070398F">
        <w:rPr>
          <w:lang w:val="en-US"/>
        </w:rPr>
        <w:t xml:space="preserve"> as other income on Account </w:t>
      </w:r>
      <w:r w:rsidR="00B67B32" w:rsidRPr="0070398F">
        <w:rPr>
          <w:lang w:val="en-US"/>
        </w:rPr>
        <w:t>6230</w:t>
      </w:r>
      <w:r w:rsidR="001E644B" w:rsidRPr="0070398F">
        <w:rPr>
          <w:lang w:val="en-US"/>
        </w:rPr>
        <w:t xml:space="preserve"> Income from Government Grants</w:t>
      </w:r>
      <w:r w:rsidR="00C85376" w:rsidRPr="0070398F">
        <w:rPr>
          <w:lang w:val="en-US"/>
        </w:rPr>
        <w:t>;</w:t>
      </w:r>
      <w:r w:rsidR="001E644B" w:rsidRPr="0070398F">
        <w:rPr>
          <w:lang w:val="en-US"/>
        </w:rPr>
        <w:t xml:space="preserve"> alternatively, the grants are deducted from the relevant expenses when presented in the statements</w:t>
      </w:r>
      <w:r w:rsidR="005F11FC" w:rsidRPr="0070398F">
        <w:rPr>
          <w:lang w:val="en-US"/>
        </w:rPr>
        <w:t>.</w:t>
      </w:r>
    </w:p>
    <w:p w:rsidR="00675959" w:rsidRPr="0070398F" w:rsidRDefault="00675959" w:rsidP="00DA193E">
      <w:pPr>
        <w:rPr>
          <w:rStyle w:val="af7"/>
          <w:lang w:val="en-US"/>
        </w:rPr>
      </w:pPr>
      <w:r w:rsidRPr="0070398F">
        <w:rPr>
          <w:rStyle w:val="af7"/>
          <w:lang w:val="en-US"/>
        </w:rPr>
        <w:t>2.</w:t>
      </w:r>
      <w:r w:rsidR="00C22381" w:rsidRPr="0070398F">
        <w:rPr>
          <w:rStyle w:val="af7"/>
          <w:lang w:val="en-US"/>
        </w:rPr>
        <w:t>2</w:t>
      </w:r>
      <w:r w:rsidRPr="0070398F">
        <w:rPr>
          <w:rStyle w:val="af7"/>
          <w:lang w:val="en-US"/>
        </w:rPr>
        <w:t>.</w:t>
      </w:r>
      <w:r w:rsidR="004A4A40" w:rsidRPr="0070398F">
        <w:rPr>
          <w:rStyle w:val="af7"/>
          <w:lang w:val="en-US"/>
        </w:rPr>
        <w:t>3</w:t>
      </w:r>
      <w:r w:rsidRPr="0070398F">
        <w:rPr>
          <w:rStyle w:val="af7"/>
          <w:lang w:val="en-US"/>
        </w:rPr>
        <w:t xml:space="preserve">. </w:t>
      </w:r>
      <w:r w:rsidR="001E644B" w:rsidRPr="0070398F">
        <w:rPr>
          <w:rStyle w:val="af7"/>
          <w:lang w:val="en-US"/>
        </w:rPr>
        <w:t>Unearned income accounting</w:t>
      </w:r>
    </w:p>
    <w:p w:rsidR="001E644B" w:rsidRPr="0070398F" w:rsidRDefault="001E644B" w:rsidP="00675959">
      <w:pPr>
        <w:spacing w:before="120" w:after="120"/>
        <w:jc w:val="both"/>
        <w:rPr>
          <w:lang w:val="en-US"/>
        </w:rPr>
      </w:pPr>
      <w:r w:rsidRPr="0070398F">
        <w:rPr>
          <w:lang w:val="en-US"/>
        </w:rPr>
        <w:t>Unearned income shall be evenly distributed between the periods and match the corresponding expenses (losses). Similarly, unearned income related to depreciable assets is usually recognized as income during the periods and in the proportion of accrual of depreciation of such assets.</w:t>
      </w:r>
    </w:p>
    <w:p w:rsidR="00675959" w:rsidRPr="0070398F" w:rsidRDefault="00675959" w:rsidP="004F24CC">
      <w:pPr>
        <w:pStyle w:val="2"/>
        <w:spacing w:before="240" w:after="240"/>
        <w:rPr>
          <w:lang w:val="en-US"/>
        </w:rPr>
      </w:pPr>
      <w:r w:rsidRPr="0070398F">
        <w:rPr>
          <w:lang w:val="en-US"/>
        </w:rPr>
        <w:t>2.</w:t>
      </w:r>
      <w:r w:rsidR="00F61DA4" w:rsidRPr="0070398F">
        <w:rPr>
          <w:lang w:val="en-US"/>
        </w:rPr>
        <w:t>3</w:t>
      </w:r>
      <w:r w:rsidRPr="0070398F">
        <w:rPr>
          <w:lang w:val="en-US"/>
        </w:rPr>
        <w:t xml:space="preserve">. </w:t>
      </w:r>
      <w:r w:rsidR="00386919" w:rsidRPr="0070398F">
        <w:rPr>
          <w:lang w:val="en-US"/>
        </w:rPr>
        <w:t>Cash Accounting</w:t>
      </w:r>
    </w:p>
    <w:p w:rsidR="00790E74" w:rsidRPr="0070398F" w:rsidRDefault="005F79BE" w:rsidP="00790E74">
      <w:pPr>
        <w:spacing w:before="120" w:after="120"/>
        <w:jc w:val="both"/>
        <w:rPr>
          <w:lang w:val="en-US"/>
        </w:rPr>
      </w:pPr>
      <w:r w:rsidRPr="0070398F">
        <w:rPr>
          <w:lang w:val="en-US"/>
        </w:rPr>
        <w:t xml:space="preserve">In accordance with Law of the Republic of Kazakhstan No. 110-VI </w:t>
      </w:r>
      <w:proofErr w:type="spellStart"/>
      <w:r w:rsidRPr="0070398F">
        <w:rPr>
          <w:lang w:val="en-US"/>
        </w:rPr>
        <w:t>ZRK</w:t>
      </w:r>
      <w:proofErr w:type="spellEnd"/>
      <w:r w:rsidRPr="0070398F">
        <w:rPr>
          <w:lang w:val="en-US"/>
        </w:rPr>
        <w:t xml:space="preserve"> dated November 20, 2017 </w:t>
      </w:r>
      <w:r w:rsidRPr="0070398F">
        <w:rPr>
          <w:i/>
          <w:lang w:val="en-US"/>
        </w:rPr>
        <w:t xml:space="preserve">On Ratification of the Headquarters Agreement between the Government of the Republic of Kazakhstan and Islamic </w:t>
      </w:r>
      <w:r w:rsidR="00677085">
        <w:rPr>
          <w:i/>
          <w:lang w:val="en-US"/>
        </w:rPr>
        <w:t>Organization</w:t>
      </w:r>
      <w:r w:rsidRPr="0070398F">
        <w:rPr>
          <w:i/>
          <w:lang w:val="en-US"/>
        </w:rPr>
        <w:t xml:space="preserve"> for Food Security</w:t>
      </w:r>
      <w:r w:rsidR="00790E74" w:rsidRPr="0070398F">
        <w:rPr>
          <w:lang w:val="en-US"/>
        </w:rPr>
        <w:t xml:space="preserve"> </w:t>
      </w:r>
      <w:r w:rsidR="005927E9" w:rsidRPr="0070398F">
        <w:rPr>
          <w:lang w:val="en-US"/>
        </w:rPr>
        <w:t>and</w:t>
      </w:r>
      <w:r w:rsidR="00790E74" w:rsidRPr="0070398F">
        <w:rPr>
          <w:lang w:val="en-US"/>
        </w:rPr>
        <w:t xml:space="preserve"> </w:t>
      </w:r>
      <w:r w:rsidR="00915F49" w:rsidRPr="0070398F">
        <w:rPr>
          <w:lang w:val="en-US"/>
        </w:rPr>
        <w:t>the Organization’s</w:t>
      </w:r>
      <w:r w:rsidR="005927E9" w:rsidRPr="0070398F">
        <w:rPr>
          <w:lang w:val="en-US"/>
        </w:rPr>
        <w:t xml:space="preserve"> goals</w:t>
      </w:r>
      <w:r w:rsidR="00790E74" w:rsidRPr="0070398F">
        <w:rPr>
          <w:lang w:val="en-US"/>
        </w:rPr>
        <w:t>,</w:t>
      </w:r>
      <w:r w:rsidR="005927E9" w:rsidRPr="0070398F">
        <w:rPr>
          <w:lang w:val="en-US"/>
        </w:rPr>
        <w:t xml:space="preserve"> </w:t>
      </w:r>
      <w:r w:rsidR="00DF1CDA" w:rsidRPr="0070398F">
        <w:rPr>
          <w:lang w:val="en-US"/>
        </w:rPr>
        <w:t>the Organization</w:t>
      </w:r>
      <w:r w:rsidR="005927E9" w:rsidRPr="0070398F">
        <w:rPr>
          <w:lang w:val="en-US"/>
        </w:rPr>
        <w:t xml:space="preserve"> may unrestrictedly</w:t>
      </w:r>
      <w:r w:rsidR="00790E74" w:rsidRPr="0070398F">
        <w:rPr>
          <w:lang w:val="en-US"/>
        </w:rPr>
        <w:t>:</w:t>
      </w:r>
    </w:p>
    <w:p w:rsidR="00790E74" w:rsidRPr="0070398F" w:rsidRDefault="00790E74" w:rsidP="00790E74">
      <w:pPr>
        <w:spacing w:before="120" w:after="120"/>
        <w:jc w:val="both"/>
        <w:rPr>
          <w:lang w:val="en-US"/>
        </w:rPr>
      </w:pPr>
      <w:r w:rsidRPr="0070398F">
        <w:rPr>
          <w:lang w:val="en-US"/>
        </w:rPr>
        <w:t xml:space="preserve">1) </w:t>
      </w:r>
      <w:r w:rsidR="005927E9" w:rsidRPr="0070398F">
        <w:rPr>
          <w:lang w:val="en-US"/>
        </w:rPr>
        <w:t>have any type of currency and accounts in any monetary unit</w:t>
      </w:r>
      <w:r w:rsidRPr="0070398F">
        <w:rPr>
          <w:lang w:val="en-US"/>
        </w:rPr>
        <w:t>;</w:t>
      </w:r>
      <w:r w:rsidR="005927E9" w:rsidRPr="0070398F">
        <w:rPr>
          <w:lang w:val="en-US"/>
        </w:rPr>
        <w:t xml:space="preserve"> and</w:t>
      </w:r>
    </w:p>
    <w:p w:rsidR="00790E74" w:rsidRPr="0070398F" w:rsidRDefault="00790E74" w:rsidP="00790E74">
      <w:pPr>
        <w:spacing w:before="120" w:after="120"/>
        <w:jc w:val="both"/>
        <w:rPr>
          <w:lang w:val="en-US"/>
        </w:rPr>
      </w:pPr>
      <w:r w:rsidRPr="0070398F">
        <w:rPr>
          <w:lang w:val="en-US"/>
        </w:rPr>
        <w:t xml:space="preserve">2) </w:t>
      </w:r>
      <w:r w:rsidR="005927E9" w:rsidRPr="0070398F">
        <w:rPr>
          <w:lang w:val="en-US"/>
        </w:rPr>
        <w:t>transfer its funds to and/or from the Republic of Kazakhstan and</w:t>
      </w:r>
      <w:r w:rsidRPr="0070398F">
        <w:rPr>
          <w:lang w:val="en-US"/>
        </w:rPr>
        <w:t xml:space="preserve"> </w:t>
      </w:r>
      <w:r w:rsidR="005927E9" w:rsidRPr="0070398F">
        <w:rPr>
          <w:lang w:val="en-US"/>
        </w:rPr>
        <w:t>translate such funds into any monetary unit at the official currency exchange rate</w:t>
      </w:r>
      <w:r w:rsidRPr="0070398F">
        <w:rPr>
          <w:lang w:val="en-US"/>
        </w:rPr>
        <w:t>.</w:t>
      </w:r>
    </w:p>
    <w:p w:rsidR="005927E9" w:rsidRPr="0070398F" w:rsidRDefault="005927E9" w:rsidP="00675959">
      <w:pPr>
        <w:spacing w:before="120" w:after="120"/>
        <w:jc w:val="both"/>
        <w:rPr>
          <w:lang w:val="en-US"/>
        </w:rPr>
      </w:pPr>
      <w:r w:rsidRPr="0070398F">
        <w:rPr>
          <w:lang w:val="en-US"/>
        </w:rPr>
        <w:t xml:space="preserve">Cash includes cash on hand (in KZT and in USD), on bank accounts, on deposit bank accounts, on special accounts, cash-in-transit. Cash is </w:t>
      </w:r>
      <w:r w:rsidR="0031748F" w:rsidRPr="0070398F">
        <w:rPr>
          <w:lang w:val="en-US"/>
        </w:rPr>
        <w:t>recorded</w:t>
      </w:r>
      <w:r w:rsidRPr="0070398F">
        <w:rPr>
          <w:lang w:val="en-US"/>
        </w:rPr>
        <w:t xml:space="preserve"> in the balance sheet at cost.</w:t>
      </w:r>
    </w:p>
    <w:p w:rsidR="0031748F" w:rsidRPr="0070398F" w:rsidRDefault="0031748F" w:rsidP="001A65BB">
      <w:pPr>
        <w:spacing w:before="120" w:after="120"/>
        <w:jc w:val="both"/>
        <w:rPr>
          <w:lang w:val="en-US"/>
        </w:rPr>
      </w:pPr>
      <w:r w:rsidRPr="0070398F">
        <w:rPr>
          <w:lang w:val="en-US"/>
        </w:rPr>
        <w:t xml:space="preserve">The Organization opens a reserve account with an amount to be fixed from time to time by decision of the General Assembly as proposed by the Director General and recommended by the Executive Board. Surplus cash as a result of excess of resources over expenses in the consolidated account </w:t>
      </w:r>
      <w:r w:rsidRPr="0070398F">
        <w:rPr>
          <w:lang w:val="en-US"/>
        </w:rPr>
        <w:lastRenderedPageBreak/>
        <w:t>for previous years shall be transferred to the Reserve Account at the end of the financial year. The Director General may withdraw amounts from the Reserve Account when funds are required, but not available, in order to meet the needs of the Organization, provided that such amounts are returned to the Reserve Account after Members have paid their contributions.</w:t>
      </w:r>
    </w:p>
    <w:p w:rsidR="00675959" w:rsidRPr="0070398F" w:rsidRDefault="00675959" w:rsidP="00675959">
      <w:pPr>
        <w:spacing w:before="120" w:after="120"/>
        <w:jc w:val="both"/>
        <w:rPr>
          <w:rStyle w:val="af7"/>
          <w:lang w:val="en-US"/>
        </w:rPr>
      </w:pPr>
      <w:r w:rsidRPr="0070398F">
        <w:rPr>
          <w:rStyle w:val="af7"/>
          <w:lang w:val="en-US"/>
        </w:rPr>
        <w:t>2.</w:t>
      </w:r>
      <w:r w:rsidR="00F61DA4" w:rsidRPr="0070398F">
        <w:rPr>
          <w:rStyle w:val="af7"/>
          <w:lang w:val="en-US"/>
        </w:rPr>
        <w:t>3</w:t>
      </w:r>
      <w:r w:rsidRPr="0070398F">
        <w:rPr>
          <w:rStyle w:val="af7"/>
          <w:lang w:val="en-US"/>
        </w:rPr>
        <w:t>.</w:t>
      </w:r>
      <w:r w:rsidR="004A4A40" w:rsidRPr="0070398F">
        <w:rPr>
          <w:rStyle w:val="af7"/>
          <w:lang w:val="en-US"/>
        </w:rPr>
        <w:t>1</w:t>
      </w:r>
      <w:r w:rsidRPr="0070398F">
        <w:rPr>
          <w:rStyle w:val="af7"/>
          <w:lang w:val="en-US"/>
        </w:rPr>
        <w:t xml:space="preserve">. </w:t>
      </w:r>
      <w:r w:rsidR="00F66D69" w:rsidRPr="0070398F">
        <w:rPr>
          <w:rStyle w:val="af7"/>
          <w:lang w:val="en-US"/>
        </w:rPr>
        <w:t>Reported cash is issued for the following expenses</w:t>
      </w:r>
      <w:r w:rsidRPr="0070398F">
        <w:rPr>
          <w:rStyle w:val="af7"/>
          <w:lang w:val="en-US"/>
        </w:rPr>
        <w:t>:</w:t>
      </w:r>
    </w:p>
    <w:tbl>
      <w:tblPr>
        <w:tblStyle w:val="af6"/>
        <w:tblW w:w="0" w:type="auto"/>
        <w:tblLayout w:type="fixed"/>
        <w:tblLook w:val="01E0" w:firstRow="1" w:lastRow="1" w:firstColumn="1" w:lastColumn="1" w:noHBand="0" w:noVBand="0"/>
      </w:tblPr>
      <w:tblGrid>
        <w:gridCol w:w="4531"/>
        <w:gridCol w:w="4536"/>
      </w:tblGrid>
      <w:tr w:rsidR="00F237EA" w:rsidRPr="0070398F" w:rsidTr="00596BEB">
        <w:trPr>
          <w:trHeight w:val="583"/>
        </w:trPr>
        <w:tc>
          <w:tcPr>
            <w:tcW w:w="4531" w:type="dxa"/>
            <w:shd w:val="clear" w:color="auto" w:fill="E5DFEC" w:themeFill="accent4" w:themeFillTint="33"/>
            <w:vAlign w:val="center"/>
          </w:tcPr>
          <w:p w:rsidR="00F237EA" w:rsidRPr="0070398F" w:rsidRDefault="009932C2" w:rsidP="00F237EA">
            <w:pPr>
              <w:jc w:val="center"/>
              <w:rPr>
                <w:b/>
                <w:sz w:val="22"/>
                <w:szCs w:val="22"/>
                <w:lang w:val="en-US"/>
              </w:rPr>
            </w:pPr>
            <w:r w:rsidRPr="0070398F">
              <w:rPr>
                <w:b/>
                <w:sz w:val="22"/>
                <w:szCs w:val="22"/>
                <w:lang w:val="en-US"/>
              </w:rPr>
              <w:t>Intended Use of the Reported Sums</w:t>
            </w:r>
          </w:p>
        </w:tc>
        <w:tc>
          <w:tcPr>
            <w:tcW w:w="4536" w:type="dxa"/>
            <w:shd w:val="clear" w:color="auto" w:fill="E5DFEC" w:themeFill="accent4" w:themeFillTint="33"/>
            <w:vAlign w:val="center"/>
          </w:tcPr>
          <w:p w:rsidR="00F237EA" w:rsidRPr="0070398F" w:rsidRDefault="009932C2" w:rsidP="00F237EA">
            <w:pPr>
              <w:jc w:val="center"/>
              <w:rPr>
                <w:b/>
                <w:sz w:val="22"/>
                <w:szCs w:val="22"/>
                <w:lang w:val="en-US"/>
              </w:rPr>
            </w:pPr>
            <w:r w:rsidRPr="0070398F">
              <w:rPr>
                <w:b/>
                <w:sz w:val="22"/>
                <w:szCs w:val="22"/>
                <w:lang w:val="en-US"/>
              </w:rPr>
              <w:t>Expense Limits</w:t>
            </w:r>
          </w:p>
        </w:tc>
      </w:tr>
      <w:tr w:rsidR="00F237EA" w:rsidRPr="0070398F" w:rsidTr="00F237EA">
        <w:trPr>
          <w:trHeight w:val="313"/>
        </w:trPr>
        <w:tc>
          <w:tcPr>
            <w:tcW w:w="9067" w:type="dxa"/>
            <w:gridSpan w:val="2"/>
          </w:tcPr>
          <w:p w:rsidR="00F237EA" w:rsidRPr="0070398F" w:rsidRDefault="009932C2" w:rsidP="00F237EA">
            <w:pPr>
              <w:jc w:val="both"/>
              <w:rPr>
                <w:b/>
                <w:sz w:val="22"/>
                <w:szCs w:val="22"/>
                <w:lang w:val="en-US"/>
              </w:rPr>
            </w:pPr>
            <w:r w:rsidRPr="0070398F">
              <w:rPr>
                <w:b/>
                <w:sz w:val="22"/>
                <w:szCs w:val="22"/>
                <w:lang w:val="en-US"/>
              </w:rPr>
              <w:t>Expenses related to business travels</w:t>
            </w:r>
            <w:r w:rsidR="00F237EA" w:rsidRPr="0070398F">
              <w:rPr>
                <w:b/>
                <w:sz w:val="22"/>
                <w:szCs w:val="22"/>
                <w:lang w:val="en-US"/>
              </w:rPr>
              <w:t>:</w:t>
            </w:r>
          </w:p>
        </w:tc>
      </w:tr>
      <w:tr w:rsidR="00F237EA" w:rsidRPr="0070398F" w:rsidTr="00596BEB">
        <w:tc>
          <w:tcPr>
            <w:tcW w:w="4531" w:type="dxa"/>
          </w:tcPr>
          <w:p w:rsidR="00F237EA" w:rsidRPr="0070398F" w:rsidRDefault="00F237EA" w:rsidP="00F237EA">
            <w:pPr>
              <w:ind w:left="454"/>
              <w:rPr>
                <w:sz w:val="22"/>
                <w:szCs w:val="22"/>
                <w:lang w:val="en-US"/>
              </w:rPr>
            </w:pPr>
            <w:r w:rsidRPr="0070398F">
              <w:rPr>
                <w:sz w:val="22"/>
                <w:szCs w:val="22"/>
                <w:lang w:val="en-US"/>
              </w:rPr>
              <w:t xml:space="preserve">- </w:t>
            </w:r>
            <w:r w:rsidR="00915F49" w:rsidRPr="0070398F">
              <w:rPr>
                <w:sz w:val="22"/>
                <w:szCs w:val="22"/>
                <w:lang w:val="en-US"/>
              </w:rPr>
              <w:t>travel</w:t>
            </w:r>
            <w:r w:rsidRPr="0070398F">
              <w:rPr>
                <w:sz w:val="22"/>
                <w:szCs w:val="22"/>
                <w:lang w:val="en-US"/>
              </w:rPr>
              <w:t xml:space="preserve"> (</w:t>
            </w:r>
            <w:r w:rsidR="00915F49" w:rsidRPr="0070398F">
              <w:rPr>
                <w:sz w:val="22"/>
                <w:szCs w:val="22"/>
                <w:lang w:val="en-US"/>
              </w:rPr>
              <w:t>round trip</w:t>
            </w:r>
            <w:r w:rsidRPr="0070398F">
              <w:rPr>
                <w:sz w:val="22"/>
                <w:szCs w:val="22"/>
                <w:lang w:val="en-US"/>
              </w:rPr>
              <w:t>);</w:t>
            </w:r>
          </w:p>
        </w:tc>
        <w:tc>
          <w:tcPr>
            <w:tcW w:w="4536" w:type="dxa"/>
          </w:tcPr>
          <w:p w:rsidR="00F237EA" w:rsidRPr="0070398F" w:rsidRDefault="00FF7E92" w:rsidP="00F237EA">
            <w:pPr>
              <w:rPr>
                <w:sz w:val="22"/>
                <w:szCs w:val="22"/>
                <w:lang w:val="en-US"/>
              </w:rPr>
            </w:pPr>
            <w:r w:rsidRPr="0070398F">
              <w:rPr>
                <w:sz w:val="22"/>
                <w:szCs w:val="22"/>
                <w:lang w:val="en-US"/>
              </w:rPr>
              <w:t xml:space="preserve">According to the </w:t>
            </w:r>
            <w:r w:rsidR="009932C2" w:rsidRPr="0070398F">
              <w:rPr>
                <w:sz w:val="22"/>
                <w:szCs w:val="22"/>
                <w:lang w:val="en-US"/>
              </w:rPr>
              <w:t xml:space="preserve">HR Management </w:t>
            </w:r>
            <w:r w:rsidRPr="0070398F">
              <w:rPr>
                <w:sz w:val="22"/>
                <w:szCs w:val="22"/>
                <w:lang w:val="en-US"/>
              </w:rPr>
              <w:t>Rules</w:t>
            </w:r>
            <w:r w:rsidR="009932C2" w:rsidRPr="0070398F">
              <w:rPr>
                <w:sz w:val="22"/>
                <w:szCs w:val="22"/>
                <w:lang w:val="en-US"/>
              </w:rPr>
              <w:t xml:space="preserve"> of the Islamic </w:t>
            </w:r>
            <w:r w:rsidR="00677085">
              <w:rPr>
                <w:sz w:val="22"/>
                <w:szCs w:val="22"/>
                <w:lang w:val="en-US"/>
              </w:rPr>
              <w:t>Organization</w:t>
            </w:r>
            <w:r w:rsidR="009932C2" w:rsidRPr="0070398F">
              <w:rPr>
                <w:sz w:val="22"/>
                <w:szCs w:val="22"/>
                <w:lang w:val="en-US"/>
              </w:rPr>
              <w:t xml:space="preserve"> for Food Security</w:t>
            </w:r>
          </w:p>
        </w:tc>
      </w:tr>
      <w:tr w:rsidR="009932C2" w:rsidRPr="0070398F" w:rsidTr="00596BEB">
        <w:tc>
          <w:tcPr>
            <w:tcW w:w="4531" w:type="dxa"/>
          </w:tcPr>
          <w:p w:rsidR="009932C2" w:rsidRPr="0070398F" w:rsidRDefault="009932C2" w:rsidP="009932C2">
            <w:pPr>
              <w:ind w:left="454"/>
              <w:rPr>
                <w:sz w:val="22"/>
                <w:szCs w:val="22"/>
                <w:lang w:val="en-US"/>
              </w:rPr>
            </w:pPr>
            <w:r w:rsidRPr="0070398F">
              <w:rPr>
                <w:sz w:val="22"/>
                <w:szCs w:val="22"/>
                <w:lang w:val="en-US"/>
              </w:rPr>
              <w:t>- accommodation;</w:t>
            </w:r>
          </w:p>
        </w:tc>
        <w:tc>
          <w:tcPr>
            <w:tcW w:w="4536" w:type="dxa"/>
          </w:tcPr>
          <w:p w:rsidR="009932C2" w:rsidRPr="0070398F" w:rsidRDefault="009932C2" w:rsidP="009932C2">
            <w:pPr>
              <w:rPr>
                <w:sz w:val="22"/>
                <w:szCs w:val="22"/>
                <w:lang w:val="en-US"/>
              </w:rPr>
            </w:pPr>
            <w:r w:rsidRPr="0070398F">
              <w:rPr>
                <w:sz w:val="22"/>
                <w:szCs w:val="22"/>
                <w:lang w:val="en-US"/>
              </w:rPr>
              <w:t xml:space="preserve">According to the HR Management Rules of the Islamic </w:t>
            </w:r>
            <w:r w:rsidR="00677085">
              <w:rPr>
                <w:sz w:val="22"/>
                <w:szCs w:val="22"/>
                <w:lang w:val="en-US"/>
              </w:rPr>
              <w:t>Organization</w:t>
            </w:r>
            <w:r w:rsidRPr="0070398F">
              <w:rPr>
                <w:sz w:val="22"/>
                <w:szCs w:val="22"/>
                <w:lang w:val="en-US"/>
              </w:rPr>
              <w:t xml:space="preserve"> for Food Security</w:t>
            </w:r>
          </w:p>
        </w:tc>
      </w:tr>
      <w:tr w:rsidR="009932C2" w:rsidRPr="0070398F" w:rsidTr="00596BEB">
        <w:tc>
          <w:tcPr>
            <w:tcW w:w="4531" w:type="dxa"/>
          </w:tcPr>
          <w:p w:rsidR="009932C2" w:rsidRPr="0070398F" w:rsidRDefault="009932C2" w:rsidP="009932C2">
            <w:pPr>
              <w:ind w:left="454"/>
              <w:rPr>
                <w:sz w:val="22"/>
                <w:szCs w:val="22"/>
                <w:lang w:val="en-US"/>
              </w:rPr>
            </w:pPr>
            <w:r w:rsidRPr="0070398F">
              <w:rPr>
                <w:sz w:val="22"/>
                <w:szCs w:val="22"/>
                <w:lang w:val="en-US"/>
              </w:rPr>
              <w:t>- daily allowance in Kazakhstan;</w:t>
            </w:r>
          </w:p>
        </w:tc>
        <w:tc>
          <w:tcPr>
            <w:tcW w:w="4536" w:type="dxa"/>
          </w:tcPr>
          <w:p w:rsidR="009932C2" w:rsidRPr="0070398F" w:rsidRDefault="009932C2" w:rsidP="009932C2">
            <w:pPr>
              <w:rPr>
                <w:sz w:val="22"/>
                <w:szCs w:val="22"/>
                <w:lang w:val="en-US"/>
              </w:rPr>
            </w:pPr>
            <w:r w:rsidRPr="0070398F">
              <w:rPr>
                <w:sz w:val="22"/>
                <w:szCs w:val="22"/>
                <w:lang w:val="en-US"/>
              </w:rPr>
              <w:t xml:space="preserve">According to the HR Management Rules of the Islamic </w:t>
            </w:r>
            <w:r w:rsidR="00677085">
              <w:rPr>
                <w:sz w:val="22"/>
                <w:szCs w:val="22"/>
                <w:lang w:val="en-US"/>
              </w:rPr>
              <w:t>Organization</w:t>
            </w:r>
            <w:r w:rsidRPr="0070398F">
              <w:rPr>
                <w:sz w:val="22"/>
                <w:szCs w:val="22"/>
                <w:lang w:val="en-US"/>
              </w:rPr>
              <w:t xml:space="preserve"> for Food Security</w:t>
            </w:r>
          </w:p>
        </w:tc>
      </w:tr>
      <w:tr w:rsidR="009932C2" w:rsidRPr="0070398F" w:rsidTr="00596BEB">
        <w:tc>
          <w:tcPr>
            <w:tcW w:w="4531" w:type="dxa"/>
          </w:tcPr>
          <w:p w:rsidR="009932C2" w:rsidRPr="0070398F" w:rsidRDefault="009932C2" w:rsidP="009932C2">
            <w:pPr>
              <w:ind w:left="454"/>
              <w:rPr>
                <w:sz w:val="22"/>
                <w:szCs w:val="22"/>
                <w:lang w:val="en-US"/>
              </w:rPr>
            </w:pPr>
            <w:r w:rsidRPr="0070398F">
              <w:rPr>
                <w:sz w:val="22"/>
                <w:szCs w:val="22"/>
                <w:lang w:val="en-US"/>
              </w:rPr>
              <w:t>- daily allowance outside of Kazakhstan</w:t>
            </w:r>
          </w:p>
        </w:tc>
        <w:tc>
          <w:tcPr>
            <w:tcW w:w="4536" w:type="dxa"/>
          </w:tcPr>
          <w:p w:rsidR="009932C2" w:rsidRPr="0070398F" w:rsidRDefault="009932C2" w:rsidP="009932C2">
            <w:pPr>
              <w:rPr>
                <w:sz w:val="22"/>
                <w:szCs w:val="22"/>
                <w:lang w:val="en-US"/>
              </w:rPr>
            </w:pPr>
            <w:r w:rsidRPr="0070398F">
              <w:rPr>
                <w:sz w:val="22"/>
                <w:szCs w:val="22"/>
                <w:lang w:val="en-US"/>
              </w:rPr>
              <w:t xml:space="preserve">According to the HR Management Rules of the Islamic </w:t>
            </w:r>
            <w:r w:rsidR="00677085">
              <w:rPr>
                <w:sz w:val="22"/>
                <w:szCs w:val="22"/>
                <w:lang w:val="en-US"/>
              </w:rPr>
              <w:t>Organization</w:t>
            </w:r>
            <w:r w:rsidRPr="0070398F">
              <w:rPr>
                <w:sz w:val="22"/>
                <w:szCs w:val="22"/>
                <w:lang w:val="en-US"/>
              </w:rPr>
              <w:t xml:space="preserve"> for Food Security</w:t>
            </w:r>
          </w:p>
        </w:tc>
      </w:tr>
      <w:tr w:rsidR="009932C2" w:rsidRPr="0070398F" w:rsidTr="00F237EA">
        <w:trPr>
          <w:trHeight w:val="339"/>
        </w:trPr>
        <w:tc>
          <w:tcPr>
            <w:tcW w:w="9067" w:type="dxa"/>
            <w:gridSpan w:val="2"/>
          </w:tcPr>
          <w:p w:rsidR="009932C2" w:rsidRPr="0070398F" w:rsidRDefault="002B1911" w:rsidP="009932C2">
            <w:pPr>
              <w:rPr>
                <w:b/>
                <w:sz w:val="22"/>
                <w:szCs w:val="22"/>
                <w:lang w:val="en-US"/>
              </w:rPr>
            </w:pPr>
            <w:r w:rsidRPr="0070398F">
              <w:rPr>
                <w:b/>
                <w:sz w:val="22"/>
                <w:szCs w:val="22"/>
                <w:lang w:val="en-US"/>
              </w:rPr>
              <w:t>For operating, administrative and</w:t>
            </w:r>
            <w:r w:rsidR="009932C2" w:rsidRPr="0070398F">
              <w:rPr>
                <w:b/>
                <w:sz w:val="22"/>
                <w:szCs w:val="22"/>
                <w:lang w:val="en-US"/>
              </w:rPr>
              <w:t xml:space="preserve"> </w:t>
            </w:r>
            <w:r w:rsidRPr="0070398F">
              <w:rPr>
                <w:b/>
                <w:sz w:val="22"/>
                <w:szCs w:val="22"/>
                <w:lang w:val="en-US"/>
              </w:rPr>
              <w:t>hospitality expenses</w:t>
            </w:r>
            <w:r w:rsidR="009932C2" w:rsidRPr="0070398F">
              <w:rPr>
                <w:b/>
                <w:sz w:val="22"/>
                <w:szCs w:val="22"/>
                <w:lang w:val="en-US"/>
              </w:rPr>
              <w:t xml:space="preserve">: </w:t>
            </w:r>
          </w:p>
        </w:tc>
      </w:tr>
      <w:tr w:rsidR="009932C2" w:rsidRPr="0070398F" w:rsidTr="00596BEB">
        <w:tc>
          <w:tcPr>
            <w:tcW w:w="4531" w:type="dxa"/>
          </w:tcPr>
          <w:p w:rsidR="009932C2" w:rsidRPr="0070398F" w:rsidRDefault="009932C2" w:rsidP="009932C2">
            <w:pPr>
              <w:ind w:left="454"/>
              <w:rPr>
                <w:sz w:val="22"/>
                <w:szCs w:val="22"/>
                <w:lang w:val="en-US"/>
              </w:rPr>
            </w:pPr>
            <w:r w:rsidRPr="0070398F">
              <w:rPr>
                <w:sz w:val="22"/>
                <w:szCs w:val="22"/>
                <w:lang w:val="en-US"/>
              </w:rPr>
              <w:t xml:space="preserve">- POL </w:t>
            </w:r>
          </w:p>
        </w:tc>
        <w:tc>
          <w:tcPr>
            <w:tcW w:w="4536" w:type="dxa"/>
          </w:tcPr>
          <w:p w:rsidR="009932C2" w:rsidRPr="0070398F" w:rsidRDefault="009932C2" w:rsidP="009932C2">
            <w:pPr>
              <w:rPr>
                <w:sz w:val="22"/>
                <w:szCs w:val="22"/>
                <w:lang w:val="en-US"/>
              </w:rPr>
            </w:pPr>
            <w:r w:rsidRPr="0070398F">
              <w:rPr>
                <w:sz w:val="22"/>
                <w:szCs w:val="22"/>
                <w:lang w:val="en-US"/>
              </w:rPr>
              <w:t>as instructed by the Organization’s Director General, limited to and for the period indicated in the employee’s office memorandum</w:t>
            </w:r>
          </w:p>
        </w:tc>
      </w:tr>
      <w:tr w:rsidR="009932C2" w:rsidRPr="0070398F" w:rsidTr="00596BEB">
        <w:tc>
          <w:tcPr>
            <w:tcW w:w="4531" w:type="dxa"/>
          </w:tcPr>
          <w:p w:rsidR="009932C2" w:rsidRPr="0070398F" w:rsidRDefault="009932C2" w:rsidP="009932C2">
            <w:pPr>
              <w:ind w:left="454"/>
              <w:rPr>
                <w:sz w:val="22"/>
                <w:szCs w:val="22"/>
                <w:lang w:val="en-US"/>
              </w:rPr>
            </w:pPr>
            <w:r w:rsidRPr="0070398F">
              <w:rPr>
                <w:sz w:val="22"/>
                <w:szCs w:val="22"/>
                <w:lang w:val="en-US"/>
              </w:rPr>
              <w:t xml:space="preserve">- office supplies </w:t>
            </w:r>
          </w:p>
        </w:tc>
        <w:tc>
          <w:tcPr>
            <w:tcW w:w="4536" w:type="dxa"/>
          </w:tcPr>
          <w:p w:rsidR="009932C2" w:rsidRPr="0070398F" w:rsidRDefault="009932C2" w:rsidP="009932C2">
            <w:pPr>
              <w:rPr>
                <w:sz w:val="22"/>
                <w:szCs w:val="22"/>
                <w:lang w:val="en-US"/>
              </w:rPr>
            </w:pPr>
            <w:r w:rsidRPr="0070398F">
              <w:rPr>
                <w:sz w:val="22"/>
                <w:szCs w:val="22"/>
                <w:lang w:val="en-US"/>
              </w:rPr>
              <w:t>as instructed by the Organization’s Director General, limited to and for the period indicated in the employee’s office memorandum</w:t>
            </w:r>
          </w:p>
        </w:tc>
      </w:tr>
      <w:tr w:rsidR="009932C2" w:rsidRPr="0070398F" w:rsidTr="00596BEB">
        <w:tc>
          <w:tcPr>
            <w:tcW w:w="4531" w:type="dxa"/>
          </w:tcPr>
          <w:p w:rsidR="009932C2" w:rsidRPr="0070398F" w:rsidRDefault="009932C2" w:rsidP="009932C2">
            <w:pPr>
              <w:ind w:left="454"/>
              <w:rPr>
                <w:sz w:val="22"/>
                <w:szCs w:val="22"/>
                <w:lang w:val="en-US"/>
              </w:rPr>
            </w:pPr>
            <w:r w:rsidRPr="0070398F">
              <w:rPr>
                <w:sz w:val="22"/>
                <w:szCs w:val="22"/>
                <w:lang w:val="en-US"/>
              </w:rPr>
              <w:t>- money order payment</w:t>
            </w:r>
          </w:p>
        </w:tc>
        <w:tc>
          <w:tcPr>
            <w:tcW w:w="4536" w:type="dxa"/>
          </w:tcPr>
          <w:p w:rsidR="009932C2" w:rsidRPr="0070398F" w:rsidRDefault="009932C2" w:rsidP="009932C2">
            <w:pPr>
              <w:rPr>
                <w:sz w:val="22"/>
                <w:szCs w:val="22"/>
                <w:lang w:val="en-US"/>
              </w:rPr>
            </w:pPr>
            <w:r w:rsidRPr="0070398F">
              <w:rPr>
                <w:sz w:val="22"/>
                <w:szCs w:val="22"/>
                <w:lang w:val="en-US"/>
              </w:rPr>
              <w:t>as instructed by the Organization’s Director General, limited to and for the period indicated in the employee’s office memorandum</w:t>
            </w:r>
          </w:p>
        </w:tc>
      </w:tr>
      <w:tr w:rsidR="009932C2" w:rsidRPr="0070398F" w:rsidTr="00596BEB">
        <w:tc>
          <w:tcPr>
            <w:tcW w:w="4531" w:type="dxa"/>
          </w:tcPr>
          <w:p w:rsidR="009932C2" w:rsidRPr="0070398F" w:rsidRDefault="009932C2" w:rsidP="009932C2">
            <w:pPr>
              <w:ind w:left="454"/>
              <w:rPr>
                <w:sz w:val="22"/>
                <w:szCs w:val="22"/>
                <w:lang w:val="en-US"/>
              </w:rPr>
            </w:pPr>
            <w:r w:rsidRPr="0070398F">
              <w:rPr>
                <w:sz w:val="22"/>
                <w:szCs w:val="22"/>
                <w:lang w:val="en-US"/>
              </w:rPr>
              <w:t>- settlements with various inventory and service providers</w:t>
            </w:r>
          </w:p>
        </w:tc>
        <w:tc>
          <w:tcPr>
            <w:tcW w:w="4536" w:type="dxa"/>
          </w:tcPr>
          <w:p w:rsidR="009932C2" w:rsidRPr="0070398F" w:rsidRDefault="009932C2" w:rsidP="009932C2">
            <w:pPr>
              <w:rPr>
                <w:sz w:val="22"/>
                <w:szCs w:val="22"/>
                <w:lang w:val="en-US"/>
              </w:rPr>
            </w:pPr>
            <w:r w:rsidRPr="0070398F">
              <w:rPr>
                <w:sz w:val="22"/>
                <w:szCs w:val="22"/>
                <w:lang w:val="en-US"/>
              </w:rPr>
              <w:t>as instructed by the Organization’s Director General, limited to and for the period indicated in the employee’s office memorandum</w:t>
            </w:r>
          </w:p>
        </w:tc>
      </w:tr>
    </w:tbl>
    <w:p w:rsidR="00127D2C" w:rsidRPr="0070398F" w:rsidRDefault="00127D2C" w:rsidP="004A4A40">
      <w:pPr>
        <w:pStyle w:val="2"/>
        <w:spacing w:before="240" w:after="240"/>
        <w:rPr>
          <w:b w:val="0"/>
          <w:lang w:val="en-US"/>
        </w:rPr>
      </w:pPr>
      <w:r w:rsidRPr="0070398F">
        <w:rPr>
          <w:b w:val="0"/>
          <w:lang w:val="en-US"/>
        </w:rPr>
        <w:t xml:space="preserve">2.4. </w:t>
      </w:r>
      <w:r w:rsidR="005B6DAB" w:rsidRPr="0070398F">
        <w:rPr>
          <w:b w:val="0"/>
          <w:lang w:val="en-US"/>
        </w:rPr>
        <w:t>Presentation of the Financial Statements in Foreign Currency</w:t>
      </w:r>
    </w:p>
    <w:p w:rsidR="00D666B0" w:rsidRPr="0070398F" w:rsidRDefault="00D666B0" w:rsidP="00D666B0">
      <w:pPr>
        <w:spacing w:before="120" w:after="120"/>
        <w:jc w:val="both"/>
        <w:rPr>
          <w:lang w:val="en-US"/>
        </w:rPr>
      </w:pPr>
      <w:r w:rsidRPr="0070398F">
        <w:rPr>
          <w:lang w:val="en-US"/>
        </w:rPr>
        <w:t>The Organization may present its financial statements in any currency (or currencies). If the presentation currency is different from the functional currency of the enterprise, then it shall translate its performance indicators and financial position into the presentation currency.</w:t>
      </w:r>
    </w:p>
    <w:p w:rsidR="00D666B0" w:rsidRPr="0070398F" w:rsidRDefault="00D666B0" w:rsidP="00D666B0">
      <w:pPr>
        <w:spacing w:before="120" w:after="120"/>
        <w:jc w:val="both"/>
        <w:rPr>
          <w:lang w:val="en-US"/>
        </w:rPr>
      </w:pPr>
      <w:r w:rsidRPr="0070398F">
        <w:rPr>
          <w:lang w:val="en-US"/>
        </w:rPr>
        <w:t>The Organization translates its performance indicators and financial position into a different presentation currency using the following procedures:</w:t>
      </w:r>
    </w:p>
    <w:p w:rsidR="00D666B0" w:rsidRPr="0070398F" w:rsidRDefault="00D666B0" w:rsidP="00D666B0">
      <w:pPr>
        <w:spacing w:before="120" w:after="120"/>
        <w:jc w:val="both"/>
        <w:rPr>
          <w:lang w:val="en-US"/>
        </w:rPr>
      </w:pPr>
      <w:r w:rsidRPr="0070398F">
        <w:rPr>
          <w:lang w:val="en-US"/>
        </w:rPr>
        <w:t xml:space="preserve">(a) Assets and liabilities in each statement of financial position presented (i.e., including comparative amounts) shall be translated at the closing rate at the date </w:t>
      </w:r>
      <w:r w:rsidR="00311D88" w:rsidRPr="0070398F">
        <w:rPr>
          <w:lang w:val="en-US"/>
        </w:rPr>
        <w:t xml:space="preserve">of </w:t>
      </w:r>
      <w:r w:rsidRPr="0070398F">
        <w:rPr>
          <w:lang w:val="en-US"/>
        </w:rPr>
        <w:t>this statement of financial position;</w:t>
      </w:r>
    </w:p>
    <w:p w:rsidR="00D666B0" w:rsidRPr="0070398F" w:rsidRDefault="00D666B0" w:rsidP="00D666B0">
      <w:pPr>
        <w:spacing w:before="120" w:after="120"/>
        <w:jc w:val="both"/>
        <w:rPr>
          <w:lang w:val="en-US"/>
        </w:rPr>
      </w:pPr>
      <w:r w:rsidRPr="0070398F">
        <w:rPr>
          <w:lang w:val="en-US"/>
        </w:rPr>
        <w:t>(b) Income and expenses in each statement of comprehensive income (</w:t>
      </w:r>
      <w:r w:rsidR="00311D88" w:rsidRPr="0070398F">
        <w:rPr>
          <w:lang w:val="en-US"/>
        </w:rPr>
        <w:t>i.e.</w:t>
      </w:r>
      <w:r w:rsidRPr="0070398F">
        <w:rPr>
          <w:lang w:val="en-US"/>
        </w:rPr>
        <w:t xml:space="preserve">, including comparative amounts) </w:t>
      </w:r>
      <w:r w:rsidR="00311D88" w:rsidRPr="0070398F">
        <w:rPr>
          <w:lang w:val="en-US"/>
        </w:rPr>
        <w:t>shall</w:t>
      </w:r>
      <w:r w:rsidRPr="0070398F">
        <w:rPr>
          <w:lang w:val="en-US"/>
        </w:rPr>
        <w:t xml:space="preserve"> be translated at exchange rates at the dates of transactions; and</w:t>
      </w:r>
    </w:p>
    <w:p w:rsidR="00D666B0" w:rsidRPr="0070398F" w:rsidRDefault="00D666B0" w:rsidP="00D666B0">
      <w:pPr>
        <w:spacing w:before="120" w:after="120"/>
        <w:jc w:val="both"/>
        <w:rPr>
          <w:lang w:val="en-US"/>
        </w:rPr>
      </w:pPr>
      <w:r w:rsidRPr="0070398F">
        <w:rPr>
          <w:lang w:val="en-US"/>
        </w:rPr>
        <w:t xml:space="preserve">(c) all resulting exchange differences </w:t>
      </w:r>
      <w:r w:rsidR="00311D88" w:rsidRPr="0070398F">
        <w:rPr>
          <w:lang w:val="en-US"/>
        </w:rPr>
        <w:t>shall</w:t>
      </w:r>
      <w:r w:rsidRPr="0070398F">
        <w:rPr>
          <w:lang w:val="en-US"/>
        </w:rPr>
        <w:t xml:space="preserve"> be recognized in other comprehensive income.</w:t>
      </w:r>
    </w:p>
    <w:p w:rsidR="00D666B0" w:rsidRPr="0070398F" w:rsidRDefault="00311D88" w:rsidP="00D666B0">
      <w:pPr>
        <w:spacing w:before="120" w:after="120"/>
        <w:jc w:val="both"/>
        <w:rPr>
          <w:lang w:val="en-US"/>
        </w:rPr>
      </w:pPr>
      <w:r w:rsidRPr="0070398F">
        <w:rPr>
          <w:lang w:val="en-US"/>
        </w:rPr>
        <w:t>The e</w:t>
      </w:r>
      <w:r w:rsidR="00D666B0" w:rsidRPr="0070398F">
        <w:rPr>
          <w:lang w:val="en-US"/>
        </w:rPr>
        <w:t>xchange differences arise as a result of:</w:t>
      </w:r>
    </w:p>
    <w:p w:rsidR="00D666B0" w:rsidRPr="0070398F" w:rsidRDefault="00D666B0" w:rsidP="00D666B0">
      <w:pPr>
        <w:spacing w:before="120" w:after="120"/>
        <w:jc w:val="both"/>
        <w:rPr>
          <w:lang w:val="en-US"/>
        </w:rPr>
      </w:pPr>
      <w:r w:rsidRPr="0070398F">
        <w:rPr>
          <w:lang w:val="en-US"/>
        </w:rPr>
        <w:t>(a) translating income and expenses at exchange rates at the dates of transactions, and assets and liabilities at the closing rate, and</w:t>
      </w:r>
    </w:p>
    <w:p w:rsidR="00D666B0" w:rsidRPr="0070398F" w:rsidRDefault="00D666B0" w:rsidP="00D666B0">
      <w:pPr>
        <w:spacing w:before="120" w:after="120"/>
        <w:jc w:val="both"/>
        <w:rPr>
          <w:lang w:val="en-US"/>
        </w:rPr>
      </w:pPr>
      <w:r w:rsidRPr="0070398F">
        <w:rPr>
          <w:lang w:val="en-US"/>
        </w:rPr>
        <w:lastRenderedPageBreak/>
        <w:t>(b) trans</w:t>
      </w:r>
      <w:r w:rsidR="00311D88" w:rsidRPr="0070398F">
        <w:rPr>
          <w:lang w:val="en-US"/>
        </w:rPr>
        <w:t>lating</w:t>
      </w:r>
      <w:r w:rsidRPr="0070398F">
        <w:rPr>
          <w:lang w:val="en-US"/>
        </w:rPr>
        <w:t xml:space="preserve"> the in</w:t>
      </w:r>
      <w:r w:rsidR="00311D88" w:rsidRPr="0070398F">
        <w:rPr>
          <w:lang w:val="en-US"/>
        </w:rPr>
        <w:t>put</w:t>
      </w:r>
      <w:r w:rsidRPr="0070398F">
        <w:rPr>
          <w:lang w:val="en-US"/>
        </w:rPr>
        <w:t xml:space="preserve"> net assets at a closing rate</w:t>
      </w:r>
      <w:r w:rsidR="00311D88" w:rsidRPr="0070398F">
        <w:rPr>
          <w:lang w:val="en-US"/>
        </w:rPr>
        <w:t xml:space="preserve">, which is </w:t>
      </w:r>
      <w:r w:rsidRPr="0070398F">
        <w:rPr>
          <w:lang w:val="en-US"/>
        </w:rPr>
        <w:t>differ</w:t>
      </w:r>
      <w:r w:rsidR="00311D88" w:rsidRPr="0070398F">
        <w:rPr>
          <w:lang w:val="en-US"/>
        </w:rPr>
        <w:t>ent</w:t>
      </w:r>
      <w:r w:rsidRPr="0070398F">
        <w:rPr>
          <w:lang w:val="en-US"/>
        </w:rPr>
        <w:t xml:space="preserve"> from the previous closing rate.</w:t>
      </w:r>
    </w:p>
    <w:p w:rsidR="00675959" w:rsidRPr="0070398F" w:rsidRDefault="00675959" w:rsidP="004F24CC">
      <w:pPr>
        <w:pStyle w:val="2"/>
        <w:spacing w:before="240" w:after="240"/>
        <w:rPr>
          <w:lang w:val="en-US"/>
        </w:rPr>
      </w:pPr>
      <w:r w:rsidRPr="0070398F">
        <w:rPr>
          <w:lang w:val="en-US"/>
        </w:rPr>
        <w:t>2.</w:t>
      </w:r>
      <w:r w:rsidR="00404D93" w:rsidRPr="0070398F">
        <w:rPr>
          <w:lang w:val="en-US"/>
        </w:rPr>
        <w:t>5</w:t>
      </w:r>
      <w:r w:rsidRPr="0070398F">
        <w:rPr>
          <w:lang w:val="en-US"/>
        </w:rPr>
        <w:t xml:space="preserve">. </w:t>
      </w:r>
      <w:r w:rsidR="007F5F73" w:rsidRPr="0070398F">
        <w:rPr>
          <w:lang w:val="en-US"/>
        </w:rPr>
        <w:t>Intangible Assets (IA) Accounting</w:t>
      </w:r>
    </w:p>
    <w:p w:rsidR="00675959" w:rsidRPr="0070398F" w:rsidRDefault="00675959" w:rsidP="00487815">
      <w:pPr>
        <w:rPr>
          <w:rStyle w:val="af7"/>
          <w:lang w:val="en-US"/>
        </w:rPr>
      </w:pPr>
      <w:r w:rsidRPr="0070398F">
        <w:rPr>
          <w:rStyle w:val="af7"/>
          <w:lang w:val="en-US"/>
        </w:rPr>
        <w:t>2.</w:t>
      </w:r>
      <w:r w:rsidR="000B3A40" w:rsidRPr="0070398F">
        <w:rPr>
          <w:rStyle w:val="af7"/>
          <w:lang w:val="en-US"/>
        </w:rPr>
        <w:t>5</w:t>
      </w:r>
      <w:r w:rsidRPr="0070398F">
        <w:rPr>
          <w:rStyle w:val="af7"/>
          <w:lang w:val="en-US"/>
        </w:rPr>
        <w:t xml:space="preserve">.1. </w:t>
      </w:r>
      <w:r w:rsidR="007F5F73" w:rsidRPr="0070398F">
        <w:rPr>
          <w:rStyle w:val="af7"/>
          <w:lang w:val="en-US"/>
        </w:rPr>
        <w:t xml:space="preserve">Classification and Grouping </w:t>
      </w:r>
    </w:p>
    <w:p w:rsidR="004904E1" w:rsidRPr="0070398F" w:rsidRDefault="004904E1" w:rsidP="004904E1">
      <w:pPr>
        <w:spacing w:before="120" w:after="120"/>
        <w:jc w:val="both"/>
        <w:rPr>
          <w:lang w:val="en-US"/>
        </w:rPr>
      </w:pPr>
      <w:r w:rsidRPr="0070398F">
        <w:rPr>
          <w:lang w:val="en-US"/>
        </w:rPr>
        <w:t xml:space="preserve">Intangible assets include </w:t>
      </w:r>
      <w:r w:rsidR="00082629" w:rsidRPr="0070398F">
        <w:rPr>
          <w:lang w:val="en-US"/>
        </w:rPr>
        <w:t>items</w:t>
      </w:r>
      <w:r w:rsidRPr="0070398F">
        <w:rPr>
          <w:lang w:val="en-US"/>
        </w:rPr>
        <w:t xml:space="preserve"> that do not have tangible content, but have a value, used in the economic activities of the Organization’s for a long </w:t>
      </w:r>
      <w:r w:rsidR="00082629" w:rsidRPr="0070398F">
        <w:rPr>
          <w:lang w:val="en-US"/>
        </w:rPr>
        <w:t xml:space="preserve">period of </w:t>
      </w:r>
      <w:r w:rsidRPr="0070398F">
        <w:rPr>
          <w:lang w:val="en-US"/>
        </w:rPr>
        <w:t>time (more than one year) and generat</w:t>
      </w:r>
      <w:r w:rsidR="00082629" w:rsidRPr="0070398F">
        <w:rPr>
          <w:lang w:val="en-US"/>
        </w:rPr>
        <w:t>ing</w:t>
      </w:r>
      <w:r w:rsidRPr="0070398F">
        <w:rPr>
          <w:lang w:val="en-US"/>
        </w:rPr>
        <w:t xml:space="preserve"> income.</w:t>
      </w:r>
    </w:p>
    <w:p w:rsidR="004904E1" w:rsidRPr="0070398F" w:rsidRDefault="004904E1" w:rsidP="004904E1">
      <w:pPr>
        <w:spacing w:before="120" w:after="120"/>
        <w:jc w:val="both"/>
        <w:rPr>
          <w:lang w:val="en-US"/>
        </w:rPr>
      </w:pPr>
      <w:r w:rsidRPr="0070398F">
        <w:rPr>
          <w:lang w:val="en-US"/>
        </w:rPr>
        <w:t xml:space="preserve">The class of intangible assets is a grouping of assets similar in nature and </w:t>
      </w:r>
      <w:r w:rsidR="009912F0">
        <w:rPr>
          <w:lang w:val="en-US"/>
        </w:rPr>
        <w:t>the method of use</w:t>
      </w:r>
      <w:r w:rsidRPr="0070398F">
        <w:rPr>
          <w:lang w:val="en-US"/>
        </w:rPr>
        <w:t xml:space="preserve"> in the </w:t>
      </w:r>
      <w:r w:rsidR="00082629" w:rsidRPr="0070398F">
        <w:rPr>
          <w:lang w:val="en-US"/>
        </w:rPr>
        <w:t>O</w:t>
      </w:r>
      <w:r w:rsidRPr="0070398F">
        <w:rPr>
          <w:lang w:val="en-US"/>
        </w:rPr>
        <w:t>rganization.</w:t>
      </w:r>
    </w:p>
    <w:p w:rsidR="00BC10D7" w:rsidRPr="0070398F" w:rsidRDefault="00DF1CDA" w:rsidP="00BC10D7">
      <w:pPr>
        <w:spacing w:before="120" w:after="120"/>
        <w:jc w:val="both"/>
        <w:rPr>
          <w:lang w:val="en-US"/>
        </w:rPr>
      </w:pPr>
      <w:r w:rsidRPr="0070398F">
        <w:rPr>
          <w:lang w:val="en-US"/>
        </w:rPr>
        <w:t xml:space="preserve">The Organization </w:t>
      </w:r>
      <w:r w:rsidR="001C1BAC" w:rsidRPr="0070398F">
        <w:rPr>
          <w:lang w:val="en-US"/>
        </w:rPr>
        <w:t>classifies the intangible assets as follows</w:t>
      </w:r>
      <w:r w:rsidR="00BC10D7" w:rsidRPr="0070398F">
        <w:rPr>
          <w:lang w:val="en-US"/>
        </w:rPr>
        <w:t xml:space="preserve">: </w:t>
      </w:r>
    </w:p>
    <w:p w:rsidR="00BC10D7" w:rsidRPr="0070398F" w:rsidRDefault="00BC10D7" w:rsidP="00DA5250">
      <w:pPr>
        <w:spacing w:before="60" w:after="60"/>
        <w:jc w:val="both"/>
        <w:rPr>
          <w:lang w:val="en-US"/>
        </w:rPr>
      </w:pPr>
      <w:r w:rsidRPr="0070398F">
        <w:rPr>
          <w:lang w:val="en-US"/>
        </w:rPr>
        <w:t xml:space="preserve">- </w:t>
      </w:r>
      <w:r w:rsidR="002B1911" w:rsidRPr="0070398F">
        <w:rPr>
          <w:lang w:val="en-US"/>
        </w:rPr>
        <w:t>corporate names</w:t>
      </w:r>
      <w:r w:rsidRPr="0070398F">
        <w:rPr>
          <w:lang w:val="en-US"/>
        </w:rPr>
        <w:t>;</w:t>
      </w:r>
    </w:p>
    <w:p w:rsidR="00BC10D7" w:rsidRPr="0070398F" w:rsidRDefault="00BC10D7" w:rsidP="00DA5250">
      <w:pPr>
        <w:spacing w:before="60" w:after="60"/>
        <w:jc w:val="both"/>
        <w:rPr>
          <w:lang w:val="en-US"/>
        </w:rPr>
      </w:pPr>
      <w:r w:rsidRPr="0070398F">
        <w:rPr>
          <w:lang w:val="en-US"/>
        </w:rPr>
        <w:t xml:space="preserve">- </w:t>
      </w:r>
      <w:r w:rsidR="00DF1CDA" w:rsidRPr="0070398F">
        <w:rPr>
          <w:lang w:val="en-US"/>
        </w:rPr>
        <w:t>masthead and titles of publications</w:t>
      </w:r>
      <w:r w:rsidRPr="0070398F">
        <w:rPr>
          <w:lang w:val="en-US"/>
        </w:rPr>
        <w:t>;</w:t>
      </w:r>
    </w:p>
    <w:p w:rsidR="00BC10D7" w:rsidRPr="0070398F" w:rsidRDefault="00BC10D7" w:rsidP="00DA5250">
      <w:pPr>
        <w:spacing w:before="60" w:after="60"/>
        <w:jc w:val="both"/>
        <w:rPr>
          <w:lang w:val="en-US"/>
        </w:rPr>
      </w:pPr>
      <w:r w:rsidRPr="0070398F">
        <w:rPr>
          <w:lang w:val="en-US"/>
        </w:rPr>
        <w:t xml:space="preserve">- </w:t>
      </w:r>
      <w:r w:rsidR="00DF1CDA" w:rsidRPr="0070398F">
        <w:rPr>
          <w:lang w:val="en-US"/>
        </w:rPr>
        <w:t>computer software</w:t>
      </w:r>
      <w:r w:rsidRPr="0070398F">
        <w:rPr>
          <w:lang w:val="en-US"/>
        </w:rPr>
        <w:t>;</w:t>
      </w:r>
    </w:p>
    <w:p w:rsidR="00BC10D7" w:rsidRPr="0070398F" w:rsidRDefault="00BC10D7" w:rsidP="00DA5250">
      <w:pPr>
        <w:spacing w:before="60" w:after="60"/>
        <w:jc w:val="both"/>
        <w:rPr>
          <w:lang w:val="en-US"/>
        </w:rPr>
      </w:pPr>
      <w:r w:rsidRPr="0070398F">
        <w:rPr>
          <w:lang w:val="en-US"/>
        </w:rPr>
        <w:t xml:space="preserve">- </w:t>
      </w:r>
      <w:r w:rsidR="002B1911" w:rsidRPr="0070398F">
        <w:rPr>
          <w:lang w:val="en-US"/>
        </w:rPr>
        <w:t>licenses and franchises</w:t>
      </w:r>
      <w:r w:rsidRPr="0070398F">
        <w:rPr>
          <w:lang w:val="en-US"/>
        </w:rPr>
        <w:t>;</w:t>
      </w:r>
    </w:p>
    <w:p w:rsidR="00BC10D7" w:rsidRPr="0070398F" w:rsidRDefault="00BC10D7" w:rsidP="00DA5250">
      <w:pPr>
        <w:spacing w:before="60" w:after="60"/>
        <w:jc w:val="both"/>
        <w:rPr>
          <w:lang w:val="en-US"/>
        </w:rPr>
      </w:pPr>
      <w:r w:rsidRPr="0070398F">
        <w:rPr>
          <w:lang w:val="en-US"/>
        </w:rPr>
        <w:t xml:space="preserve">- </w:t>
      </w:r>
      <w:r w:rsidR="002B1911" w:rsidRPr="0070398F">
        <w:rPr>
          <w:lang w:val="en-US"/>
        </w:rPr>
        <w:t>copyrights</w:t>
      </w:r>
      <w:r w:rsidRPr="0070398F">
        <w:rPr>
          <w:lang w:val="en-US"/>
        </w:rPr>
        <w:t xml:space="preserve">, </w:t>
      </w:r>
      <w:r w:rsidR="002B1911" w:rsidRPr="0070398F">
        <w:rPr>
          <w:lang w:val="en-US"/>
        </w:rPr>
        <w:t>patents and other design rights</w:t>
      </w:r>
      <w:r w:rsidRPr="0070398F">
        <w:rPr>
          <w:lang w:val="en-US"/>
        </w:rPr>
        <w:t xml:space="preserve">, </w:t>
      </w:r>
      <w:r w:rsidR="00DF1CDA" w:rsidRPr="0070398F">
        <w:rPr>
          <w:lang w:val="en-US"/>
        </w:rPr>
        <w:t>service and operation rights</w:t>
      </w:r>
      <w:r w:rsidRPr="0070398F">
        <w:rPr>
          <w:lang w:val="en-US"/>
        </w:rPr>
        <w:t xml:space="preserve">; </w:t>
      </w:r>
    </w:p>
    <w:p w:rsidR="00BC10D7" w:rsidRPr="0070398F" w:rsidRDefault="00BC10D7" w:rsidP="00DA5250">
      <w:pPr>
        <w:spacing w:before="60" w:after="60"/>
        <w:jc w:val="both"/>
        <w:rPr>
          <w:lang w:val="en-US"/>
        </w:rPr>
      </w:pPr>
      <w:r w:rsidRPr="0070398F">
        <w:rPr>
          <w:lang w:val="en-US"/>
        </w:rPr>
        <w:t xml:space="preserve">- </w:t>
      </w:r>
      <w:r w:rsidR="00DF1CDA" w:rsidRPr="0070398F">
        <w:rPr>
          <w:lang w:val="en-US"/>
        </w:rPr>
        <w:t>recipes</w:t>
      </w:r>
      <w:r w:rsidRPr="0070398F">
        <w:rPr>
          <w:lang w:val="en-US"/>
        </w:rPr>
        <w:t>,</w:t>
      </w:r>
      <w:r w:rsidR="00DF1CDA" w:rsidRPr="0070398F">
        <w:rPr>
          <w:lang w:val="en-US"/>
        </w:rPr>
        <w:t xml:space="preserve"> formulae, models, drawings and</w:t>
      </w:r>
      <w:r w:rsidRPr="0070398F">
        <w:rPr>
          <w:lang w:val="en-US"/>
        </w:rPr>
        <w:t xml:space="preserve"> </w:t>
      </w:r>
      <w:r w:rsidR="00DF1CDA" w:rsidRPr="0070398F">
        <w:rPr>
          <w:lang w:val="en-US"/>
        </w:rPr>
        <w:t>prototypes</w:t>
      </w:r>
      <w:r w:rsidRPr="0070398F">
        <w:rPr>
          <w:lang w:val="en-US"/>
        </w:rPr>
        <w:t xml:space="preserve">; </w:t>
      </w:r>
      <w:r w:rsidR="00DF1CDA" w:rsidRPr="0070398F">
        <w:rPr>
          <w:lang w:val="en-US"/>
        </w:rPr>
        <w:t>and</w:t>
      </w:r>
    </w:p>
    <w:p w:rsidR="00BC10D7" w:rsidRPr="0070398F" w:rsidRDefault="00BC10D7" w:rsidP="00DA5250">
      <w:pPr>
        <w:spacing w:before="60" w:after="60"/>
        <w:jc w:val="both"/>
        <w:rPr>
          <w:lang w:val="en-US"/>
        </w:rPr>
      </w:pPr>
      <w:r w:rsidRPr="0070398F">
        <w:rPr>
          <w:lang w:val="en-US"/>
        </w:rPr>
        <w:t xml:space="preserve">- </w:t>
      </w:r>
      <w:r w:rsidR="00DF1CDA" w:rsidRPr="0070398F">
        <w:rPr>
          <w:lang w:val="en-US"/>
        </w:rPr>
        <w:t>intangible assets</w:t>
      </w:r>
      <w:r w:rsidRPr="0070398F">
        <w:rPr>
          <w:lang w:val="en-US"/>
        </w:rPr>
        <w:t xml:space="preserve"> </w:t>
      </w:r>
      <w:r w:rsidR="00DF1CDA" w:rsidRPr="0070398F">
        <w:rPr>
          <w:lang w:val="en-US"/>
        </w:rPr>
        <w:t>under development</w:t>
      </w:r>
      <w:r w:rsidRPr="0070398F">
        <w:rPr>
          <w:lang w:val="en-US"/>
        </w:rPr>
        <w:t>.</w:t>
      </w:r>
    </w:p>
    <w:p w:rsidR="00082629" w:rsidRPr="0070398F" w:rsidRDefault="00082629" w:rsidP="00675959">
      <w:pPr>
        <w:spacing w:before="120" w:after="120"/>
        <w:jc w:val="both"/>
        <w:rPr>
          <w:rStyle w:val="af7"/>
          <w:b w:val="0"/>
          <w:lang w:val="en-US"/>
        </w:rPr>
      </w:pPr>
      <w:r w:rsidRPr="0070398F">
        <w:rPr>
          <w:rStyle w:val="af7"/>
          <w:lang w:val="en-US"/>
        </w:rPr>
        <w:t xml:space="preserve">2.5.2. Intangible assets are initially measured </w:t>
      </w:r>
      <w:r w:rsidRPr="0070398F">
        <w:rPr>
          <w:rStyle w:val="af7"/>
          <w:b w:val="0"/>
          <w:lang w:val="en-US"/>
        </w:rPr>
        <w:t>at (original</w:t>
      </w:r>
      <w:r w:rsidR="009912F0">
        <w:rPr>
          <w:rStyle w:val="af7"/>
          <w:b w:val="0"/>
          <w:lang w:val="en-US"/>
        </w:rPr>
        <w:t>)</w:t>
      </w:r>
      <w:r w:rsidRPr="0070398F">
        <w:rPr>
          <w:rStyle w:val="af7"/>
          <w:b w:val="0"/>
          <w:lang w:val="en-US"/>
        </w:rPr>
        <w:t xml:space="preserve"> cost with depreciation accrued on a straight-line basis, based on their useful lives. The </w:t>
      </w:r>
      <w:r w:rsidR="005B2511" w:rsidRPr="0070398F">
        <w:rPr>
          <w:rStyle w:val="af7"/>
          <w:b w:val="0"/>
          <w:lang w:val="en-US"/>
        </w:rPr>
        <w:t>disposal</w:t>
      </w:r>
      <w:r w:rsidRPr="0070398F">
        <w:rPr>
          <w:rStyle w:val="af7"/>
          <w:b w:val="0"/>
          <w:lang w:val="en-US"/>
        </w:rPr>
        <w:t xml:space="preserve"> value of intangible assets is assumed to be zero.</w:t>
      </w:r>
    </w:p>
    <w:p w:rsidR="00675959" w:rsidRPr="0070398F" w:rsidRDefault="00675959" w:rsidP="004F24CC">
      <w:pPr>
        <w:pStyle w:val="2"/>
        <w:spacing w:before="240" w:after="240"/>
        <w:rPr>
          <w:lang w:val="en-US"/>
        </w:rPr>
      </w:pPr>
      <w:r w:rsidRPr="0070398F">
        <w:rPr>
          <w:lang w:val="en-US"/>
        </w:rPr>
        <w:t>2.</w:t>
      </w:r>
      <w:r w:rsidR="00404D93" w:rsidRPr="0070398F">
        <w:rPr>
          <w:lang w:val="en-US"/>
        </w:rPr>
        <w:t>6</w:t>
      </w:r>
      <w:r w:rsidR="00B9018D" w:rsidRPr="0070398F">
        <w:rPr>
          <w:lang w:val="en-US"/>
        </w:rPr>
        <w:t xml:space="preserve">.  </w:t>
      </w:r>
      <w:r w:rsidR="007F5F73" w:rsidRPr="0070398F">
        <w:rPr>
          <w:lang w:val="en-US"/>
        </w:rPr>
        <w:t>Fixed Assets Accounting</w:t>
      </w:r>
    </w:p>
    <w:p w:rsidR="00675959" w:rsidRPr="0070398F" w:rsidRDefault="00675959" w:rsidP="00487815">
      <w:pPr>
        <w:spacing w:before="240" w:after="120"/>
        <w:jc w:val="both"/>
        <w:rPr>
          <w:lang w:val="en-US"/>
        </w:rPr>
      </w:pPr>
      <w:r w:rsidRPr="0070398F">
        <w:rPr>
          <w:rStyle w:val="af7"/>
          <w:lang w:val="en-US"/>
        </w:rPr>
        <w:t>2.</w:t>
      </w:r>
      <w:r w:rsidR="000B3A40" w:rsidRPr="0070398F">
        <w:rPr>
          <w:rStyle w:val="af7"/>
          <w:lang w:val="en-US"/>
        </w:rPr>
        <w:t>6</w:t>
      </w:r>
      <w:r w:rsidRPr="0070398F">
        <w:rPr>
          <w:rStyle w:val="af7"/>
          <w:lang w:val="en-US"/>
        </w:rPr>
        <w:t xml:space="preserve">.1. </w:t>
      </w:r>
      <w:r w:rsidR="00107A86" w:rsidRPr="0070398F">
        <w:rPr>
          <w:rStyle w:val="af7"/>
          <w:lang w:val="en-US"/>
        </w:rPr>
        <w:t xml:space="preserve">Fixed assets include tangible assets </w:t>
      </w:r>
      <w:r w:rsidR="00107A86" w:rsidRPr="0070398F">
        <w:rPr>
          <w:rStyle w:val="af7"/>
          <w:b w:val="0"/>
          <w:lang w:val="en-US"/>
        </w:rPr>
        <w:t>used</w:t>
      </w:r>
      <w:r w:rsidRPr="0070398F">
        <w:rPr>
          <w:lang w:val="en-US"/>
        </w:rPr>
        <w:t xml:space="preserve"> </w:t>
      </w:r>
      <w:r w:rsidR="00107A86" w:rsidRPr="0070398F">
        <w:rPr>
          <w:lang w:val="en-US"/>
        </w:rPr>
        <w:t>by the Organization</w:t>
      </w:r>
      <w:r w:rsidR="00197DC4" w:rsidRPr="0070398F">
        <w:rPr>
          <w:lang w:val="en-US"/>
        </w:rPr>
        <w:t xml:space="preserve"> </w:t>
      </w:r>
      <w:r w:rsidR="00107A86" w:rsidRPr="0070398F">
        <w:rPr>
          <w:lang w:val="en-US"/>
        </w:rPr>
        <w:t>for administrative purposes</w:t>
      </w:r>
      <w:r w:rsidR="00A85B59" w:rsidRPr="0070398F">
        <w:rPr>
          <w:lang w:val="en-US"/>
        </w:rPr>
        <w:t xml:space="preserve"> expected to be used for more than one accounting period </w:t>
      </w:r>
      <w:r w:rsidRPr="0070398F">
        <w:rPr>
          <w:lang w:val="en-US"/>
        </w:rPr>
        <w:t>(</w:t>
      </w:r>
      <w:r w:rsidR="00107A86" w:rsidRPr="0070398F">
        <w:rPr>
          <w:lang w:val="en-US"/>
        </w:rPr>
        <w:t>more than</w:t>
      </w:r>
      <w:r w:rsidRPr="0070398F">
        <w:rPr>
          <w:lang w:val="en-US"/>
        </w:rPr>
        <w:t xml:space="preserve"> 1 </w:t>
      </w:r>
      <w:r w:rsidR="00107A86" w:rsidRPr="0070398F">
        <w:rPr>
          <w:lang w:val="en-US"/>
        </w:rPr>
        <w:t>year</w:t>
      </w:r>
      <w:r w:rsidRPr="0070398F">
        <w:rPr>
          <w:lang w:val="en-US"/>
        </w:rPr>
        <w:t>).</w:t>
      </w:r>
    </w:p>
    <w:p w:rsidR="00675959" w:rsidRPr="0070398F" w:rsidRDefault="00675959" w:rsidP="00487815">
      <w:pPr>
        <w:spacing w:before="240" w:after="240"/>
        <w:rPr>
          <w:rStyle w:val="af7"/>
          <w:lang w:val="en-US"/>
        </w:rPr>
      </w:pPr>
      <w:r w:rsidRPr="0070398F">
        <w:rPr>
          <w:rStyle w:val="af7"/>
          <w:lang w:val="en-US"/>
        </w:rPr>
        <w:t>2.</w:t>
      </w:r>
      <w:r w:rsidR="000B3A40" w:rsidRPr="0070398F">
        <w:rPr>
          <w:rStyle w:val="af7"/>
          <w:lang w:val="en-US"/>
        </w:rPr>
        <w:t>6</w:t>
      </w:r>
      <w:r w:rsidRPr="0070398F">
        <w:rPr>
          <w:rStyle w:val="af7"/>
          <w:lang w:val="en-US"/>
        </w:rPr>
        <w:t xml:space="preserve">.2. </w:t>
      </w:r>
      <w:r w:rsidR="007F5F73" w:rsidRPr="0070398F">
        <w:rPr>
          <w:rStyle w:val="af7"/>
          <w:lang w:val="en-US"/>
        </w:rPr>
        <w:t>Classification and Grouping</w:t>
      </w:r>
    </w:p>
    <w:p w:rsidR="00675959" w:rsidRPr="0070398F" w:rsidRDefault="00107A86" w:rsidP="00675959">
      <w:pPr>
        <w:spacing w:before="120" w:after="120"/>
        <w:jc w:val="both"/>
        <w:rPr>
          <w:lang w:val="en-US"/>
        </w:rPr>
      </w:pPr>
      <w:r w:rsidRPr="0070398F">
        <w:rPr>
          <w:lang w:val="en-US"/>
        </w:rPr>
        <w:t>For the purpose of preparing the financial statements,</w:t>
      </w:r>
      <w:r w:rsidR="00675959" w:rsidRPr="0070398F">
        <w:rPr>
          <w:lang w:val="en-US"/>
        </w:rPr>
        <w:t xml:space="preserve"> </w:t>
      </w:r>
      <w:r w:rsidR="00DF1CDA" w:rsidRPr="0070398F">
        <w:rPr>
          <w:lang w:val="en-US"/>
        </w:rPr>
        <w:t>the Organization</w:t>
      </w:r>
      <w:r w:rsidR="00675959" w:rsidRPr="0070398F">
        <w:rPr>
          <w:lang w:val="en-US"/>
        </w:rPr>
        <w:t xml:space="preserve"> </w:t>
      </w:r>
      <w:r w:rsidR="00A85B59" w:rsidRPr="0070398F">
        <w:rPr>
          <w:lang w:val="en-US"/>
        </w:rPr>
        <w:t>uses the following classification by groups</w:t>
      </w:r>
      <w:r w:rsidR="00675959" w:rsidRPr="0070398F">
        <w:rPr>
          <w:lang w:val="en-US"/>
        </w:rPr>
        <w:t>:</w:t>
      </w:r>
    </w:p>
    <w:p w:rsidR="00675959" w:rsidRPr="0070398F" w:rsidRDefault="00675959" w:rsidP="00470291">
      <w:pPr>
        <w:spacing w:before="60" w:after="60"/>
        <w:jc w:val="both"/>
        <w:rPr>
          <w:lang w:val="en-US"/>
        </w:rPr>
      </w:pPr>
      <w:r w:rsidRPr="0070398F">
        <w:rPr>
          <w:lang w:val="en-US"/>
        </w:rPr>
        <w:t xml:space="preserve">– </w:t>
      </w:r>
      <w:r w:rsidR="007F5F73" w:rsidRPr="0070398F">
        <w:rPr>
          <w:lang w:val="en-US"/>
        </w:rPr>
        <w:t>plant and equipment</w:t>
      </w:r>
      <w:r w:rsidRPr="0070398F">
        <w:rPr>
          <w:lang w:val="en-US"/>
        </w:rPr>
        <w:t>;</w:t>
      </w:r>
    </w:p>
    <w:p w:rsidR="00675959" w:rsidRPr="0070398F" w:rsidRDefault="00675959" w:rsidP="00470291">
      <w:pPr>
        <w:spacing w:before="60" w:after="60"/>
        <w:jc w:val="both"/>
        <w:rPr>
          <w:lang w:val="en-US"/>
        </w:rPr>
      </w:pPr>
      <w:r w:rsidRPr="0070398F">
        <w:rPr>
          <w:lang w:val="en-US"/>
        </w:rPr>
        <w:t xml:space="preserve">– </w:t>
      </w:r>
      <w:r w:rsidR="007F5F73" w:rsidRPr="0070398F">
        <w:rPr>
          <w:lang w:val="en-US"/>
        </w:rPr>
        <w:t>vehicles</w:t>
      </w:r>
      <w:r w:rsidRPr="0070398F">
        <w:rPr>
          <w:lang w:val="en-US"/>
        </w:rPr>
        <w:t>;</w:t>
      </w:r>
      <w:r w:rsidR="007F5F73" w:rsidRPr="0070398F">
        <w:rPr>
          <w:lang w:val="en-US"/>
        </w:rPr>
        <w:t xml:space="preserve"> and</w:t>
      </w:r>
    </w:p>
    <w:p w:rsidR="00675959" w:rsidRPr="0070398F" w:rsidRDefault="00675959" w:rsidP="00470291">
      <w:pPr>
        <w:spacing w:before="60" w:after="60"/>
        <w:jc w:val="both"/>
        <w:rPr>
          <w:lang w:val="en-US"/>
        </w:rPr>
      </w:pPr>
      <w:r w:rsidRPr="0070398F">
        <w:rPr>
          <w:lang w:val="en-US"/>
        </w:rPr>
        <w:t xml:space="preserve">– </w:t>
      </w:r>
      <w:r w:rsidR="007F5F73" w:rsidRPr="0070398F">
        <w:rPr>
          <w:lang w:val="en-US"/>
        </w:rPr>
        <w:t>other fixed assets</w:t>
      </w:r>
      <w:r w:rsidRPr="0070398F">
        <w:rPr>
          <w:lang w:val="en-US"/>
        </w:rPr>
        <w:t xml:space="preserve"> (</w:t>
      </w:r>
      <w:r w:rsidR="007F5F73" w:rsidRPr="0070398F">
        <w:rPr>
          <w:lang w:val="en-US"/>
        </w:rPr>
        <w:t>office equipment, furniture, tools and accessories</w:t>
      </w:r>
      <w:r w:rsidRPr="0070398F">
        <w:rPr>
          <w:lang w:val="en-US"/>
        </w:rPr>
        <w:t>).</w:t>
      </w:r>
    </w:p>
    <w:p w:rsidR="00F329BA" w:rsidRPr="0070398F" w:rsidRDefault="00F329BA" w:rsidP="00F329BA">
      <w:pPr>
        <w:spacing w:before="120" w:after="120"/>
        <w:jc w:val="both"/>
        <w:rPr>
          <w:rStyle w:val="af7"/>
          <w:b w:val="0"/>
          <w:lang w:val="en-US"/>
        </w:rPr>
      </w:pPr>
      <w:r w:rsidRPr="0070398F">
        <w:rPr>
          <w:rStyle w:val="af7"/>
          <w:lang w:val="en-US"/>
        </w:rPr>
        <w:t xml:space="preserve">2.6.3. At initial recognition, fixed assets </w:t>
      </w:r>
      <w:r w:rsidRPr="0070398F">
        <w:rPr>
          <w:rStyle w:val="af7"/>
          <w:b w:val="0"/>
          <w:lang w:val="en-US"/>
        </w:rPr>
        <w:t>are measured at (</w:t>
      </w:r>
      <w:r w:rsidR="009912F0">
        <w:rPr>
          <w:rStyle w:val="af7"/>
          <w:b w:val="0"/>
          <w:lang w:val="en-US"/>
        </w:rPr>
        <w:t>original</w:t>
      </w:r>
      <w:r w:rsidRPr="0070398F">
        <w:rPr>
          <w:rStyle w:val="af7"/>
          <w:b w:val="0"/>
          <w:lang w:val="en-US"/>
        </w:rPr>
        <w:t>) cost, which includes all actually incurred costs of the asset</w:t>
      </w:r>
      <w:r w:rsidR="009912F0">
        <w:rPr>
          <w:rStyle w:val="af7"/>
          <w:b w:val="0"/>
          <w:lang w:val="en-US"/>
        </w:rPr>
        <w:t xml:space="preserve"> acquisition</w:t>
      </w:r>
      <w:r w:rsidRPr="0070398F">
        <w:rPr>
          <w:rStyle w:val="af7"/>
          <w:b w:val="0"/>
          <w:lang w:val="en-US"/>
        </w:rPr>
        <w:t>. The original cost of fixed assets includes all unavoidable costs until the asset is put into a state of readiness for operation.</w:t>
      </w:r>
    </w:p>
    <w:p w:rsidR="00F329BA" w:rsidRPr="0070398F" w:rsidRDefault="00F329BA" w:rsidP="00F329BA">
      <w:pPr>
        <w:spacing w:before="120" w:after="120"/>
        <w:jc w:val="both"/>
        <w:rPr>
          <w:rStyle w:val="af7"/>
          <w:b w:val="0"/>
          <w:lang w:val="en-US"/>
        </w:rPr>
      </w:pPr>
      <w:r w:rsidRPr="0070398F">
        <w:rPr>
          <w:rStyle w:val="af7"/>
          <w:b w:val="0"/>
          <w:lang w:val="en-US"/>
        </w:rPr>
        <w:t>After initial recognition as an asset, a fixed asset shall be carried at its cost less accumulated depreciation and any accumulated impairment losses.</w:t>
      </w:r>
    </w:p>
    <w:p w:rsidR="003C3970" w:rsidRPr="0070398F" w:rsidRDefault="00F0243B" w:rsidP="00F94151">
      <w:pPr>
        <w:pStyle w:val="2"/>
        <w:spacing w:before="240" w:after="240"/>
        <w:rPr>
          <w:lang w:val="en-US"/>
        </w:rPr>
      </w:pPr>
      <w:r w:rsidRPr="0070398F">
        <w:rPr>
          <w:rStyle w:val="IASBEduinsert"/>
          <w:lang w:val="en-US"/>
        </w:rPr>
        <w:t>2.</w:t>
      </w:r>
      <w:r w:rsidR="004A4A40" w:rsidRPr="0070398F">
        <w:rPr>
          <w:rStyle w:val="IASBEduinsert"/>
          <w:lang w:val="en-US"/>
        </w:rPr>
        <w:t>7</w:t>
      </w:r>
      <w:r w:rsidR="00675959" w:rsidRPr="0070398F">
        <w:rPr>
          <w:rStyle w:val="IASBEduinsert"/>
          <w:lang w:val="en-US"/>
        </w:rPr>
        <w:t xml:space="preserve">. </w:t>
      </w:r>
      <w:r w:rsidR="007F5F73" w:rsidRPr="0070398F">
        <w:rPr>
          <w:rStyle w:val="IASBEduinsert"/>
          <w:lang w:val="en-US"/>
        </w:rPr>
        <w:t>Inventory Accounting</w:t>
      </w:r>
    </w:p>
    <w:p w:rsidR="00675959" w:rsidRPr="0070398F" w:rsidRDefault="00F0243B" w:rsidP="00687DDB">
      <w:pPr>
        <w:rPr>
          <w:rStyle w:val="af7"/>
          <w:lang w:val="en-US"/>
        </w:rPr>
      </w:pPr>
      <w:r w:rsidRPr="0070398F">
        <w:rPr>
          <w:rStyle w:val="af7"/>
          <w:lang w:val="en-US"/>
        </w:rPr>
        <w:t>2</w:t>
      </w:r>
      <w:r w:rsidR="004A4A40" w:rsidRPr="0070398F">
        <w:rPr>
          <w:rStyle w:val="af7"/>
          <w:lang w:val="en-US"/>
        </w:rPr>
        <w:t>.7</w:t>
      </w:r>
      <w:r w:rsidR="00675959" w:rsidRPr="0070398F">
        <w:rPr>
          <w:rStyle w:val="af7"/>
          <w:lang w:val="en-US"/>
        </w:rPr>
        <w:t xml:space="preserve">.1. </w:t>
      </w:r>
      <w:r w:rsidR="007F5F73" w:rsidRPr="0070398F">
        <w:rPr>
          <w:rStyle w:val="af7"/>
          <w:lang w:val="en-US"/>
        </w:rPr>
        <w:t xml:space="preserve">Inventory Classification and Grouping </w:t>
      </w:r>
    </w:p>
    <w:p w:rsidR="00F329BA" w:rsidRPr="0070398F" w:rsidRDefault="00F329BA" w:rsidP="00F329BA">
      <w:pPr>
        <w:spacing w:before="120" w:after="120"/>
        <w:jc w:val="both"/>
        <w:rPr>
          <w:lang w:val="en-US"/>
        </w:rPr>
      </w:pPr>
      <w:r w:rsidRPr="0070398F">
        <w:rPr>
          <w:lang w:val="en-US"/>
        </w:rPr>
        <w:lastRenderedPageBreak/>
        <w:t>For the purposes of preparation of financial statements, the Organization uses the following inventory grouping:</w:t>
      </w:r>
    </w:p>
    <w:p w:rsidR="00F329BA" w:rsidRPr="0070398F" w:rsidRDefault="00F329BA" w:rsidP="00F329BA">
      <w:pPr>
        <w:spacing w:before="120" w:after="120"/>
        <w:jc w:val="both"/>
        <w:rPr>
          <w:lang w:val="en-US"/>
        </w:rPr>
      </w:pPr>
      <w:r w:rsidRPr="0070398F">
        <w:rPr>
          <w:lang w:val="en-US"/>
        </w:rPr>
        <w:t>• Raw materials include tangible assets intended for use in the production process with a useful life of less than 12 months.</w:t>
      </w:r>
    </w:p>
    <w:p w:rsidR="00675959" w:rsidRPr="0070398F" w:rsidRDefault="00F0243B" w:rsidP="00A76D98">
      <w:pPr>
        <w:spacing w:before="120"/>
        <w:rPr>
          <w:rStyle w:val="af7"/>
          <w:lang w:val="en-US"/>
        </w:rPr>
      </w:pPr>
      <w:r w:rsidRPr="0070398F">
        <w:rPr>
          <w:rStyle w:val="af7"/>
          <w:lang w:val="en-US"/>
        </w:rPr>
        <w:t>2.</w:t>
      </w:r>
      <w:r w:rsidR="004A4A40" w:rsidRPr="0070398F">
        <w:rPr>
          <w:rStyle w:val="af7"/>
          <w:lang w:val="en-US"/>
        </w:rPr>
        <w:t>7</w:t>
      </w:r>
      <w:r w:rsidR="00675959" w:rsidRPr="0070398F">
        <w:rPr>
          <w:rStyle w:val="af7"/>
          <w:lang w:val="en-US"/>
        </w:rPr>
        <w:t>.</w:t>
      </w:r>
      <w:r w:rsidR="000B3A40" w:rsidRPr="0070398F">
        <w:rPr>
          <w:rStyle w:val="af7"/>
          <w:lang w:val="en-US"/>
        </w:rPr>
        <w:t>2</w:t>
      </w:r>
      <w:r w:rsidR="00675959" w:rsidRPr="0070398F">
        <w:rPr>
          <w:rStyle w:val="af7"/>
          <w:lang w:val="en-US"/>
        </w:rPr>
        <w:t xml:space="preserve">. </w:t>
      </w:r>
      <w:r w:rsidR="007F5F73" w:rsidRPr="0070398F">
        <w:rPr>
          <w:rStyle w:val="af7"/>
          <w:lang w:val="en-US"/>
        </w:rPr>
        <w:t>Accounting Principles</w:t>
      </w:r>
    </w:p>
    <w:p w:rsidR="004170D6" w:rsidRPr="0070398F" w:rsidRDefault="004170D6" w:rsidP="004170D6">
      <w:pPr>
        <w:spacing w:before="120" w:after="120"/>
        <w:jc w:val="both"/>
        <w:rPr>
          <w:lang w:val="en-US"/>
        </w:rPr>
      </w:pPr>
      <w:r w:rsidRPr="0070398F">
        <w:rPr>
          <w:lang w:val="en-US"/>
        </w:rPr>
        <w:t>2.7.2.1. Inventories are recorded when the legal title to such inventories under a supply contract passes from the supplier to the Organization.</w:t>
      </w:r>
    </w:p>
    <w:p w:rsidR="004170D6" w:rsidRPr="0070398F" w:rsidRDefault="004170D6" w:rsidP="004170D6">
      <w:pPr>
        <w:spacing w:before="120" w:after="120"/>
        <w:jc w:val="both"/>
        <w:rPr>
          <w:lang w:val="en-US"/>
        </w:rPr>
      </w:pPr>
      <w:r w:rsidRPr="0070398F">
        <w:rPr>
          <w:lang w:val="en-US"/>
        </w:rPr>
        <w:t>2.7.2.2. Sub-accounting of the inventory movement is carried out based on accrual method of accounting for each balance account and financially liable persons.</w:t>
      </w:r>
    </w:p>
    <w:p w:rsidR="004170D6" w:rsidRPr="0070398F" w:rsidRDefault="004170D6" w:rsidP="004170D6">
      <w:pPr>
        <w:spacing w:before="120" w:after="120"/>
        <w:jc w:val="both"/>
        <w:rPr>
          <w:b/>
          <w:lang w:val="en-US"/>
        </w:rPr>
      </w:pPr>
      <w:r w:rsidRPr="0070398F">
        <w:rPr>
          <w:b/>
          <w:lang w:val="en-US"/>
        </w:rPr>
        <w:t>2.7.3. Costing</w:t>
      </w:r>
    </w:p>
    <w:p w:rsidR="004170D6" w:rsidRPr="0070398F" w:rsidRDefault="004170D6" w:rsidP="004170D6">
      <w:pPr>
        <w:spacing w:before="120" w:after="120"/>
        <w:jc w:val="both"/>
        <w:rPr>
          <w:lang w:val="en-US"/>
        </w:rPr>
      </w:pPr>
      <w:r w:rsidRPr="0070398F">
        <w:rPr>
          <w:lang w:val="en-US"/>
        </w:rPr>
        <w:t>2.7.3.1. Inventories, as acquired (received) from other organizations, are recorded at the time of receipt at cost.</w:t>
      </w:r>
    </w:p>
    <w:p w:rsidR="004170D6" w:rsidRPr="0070398F" w:rsidRDefault="004170D6" w:rsidP="004170D6">
      <w:pPr>
        <w:spacing w:before="120" w:after="120"/>
        <w:jc w:val="both"/>
        <w:rPr>
          <w:lang w:val="en-US"/>
        </w:rPr>
      </w:pPr>
      <w:r w:rsidRPr="0070398F">
        <w:rPr>
          <w:lang w:val="en-US"/>
        </w:rPr>
        <w:t>The cost of inventories acquired includes the purchase price, shipping costs and other costs directly related to the purchase and delivery.</w:t>
      </w:r>
    </w:p>
    <w:p w:rsidR="004170D6" w:rsidRPr="0070398F" w:rsidRDefault="004170D6" w:rsidP="004170D6">
      <w:pPr>
        <w:spacing w:before="120" w:after="120"/>
        <w:jc w:val="both"/>
        <w:rPr>
          <w:lang w:val="en-US"/>
        </w:rPr>
      </w:pPr>
      <w:r w:rsidRPr="0070398F">
        <w:rPr>
          <w:lang w:val="en-US"/>
        </w:rPr>
        <w:t xml:space="preserve">2.7.3.2. The </w:t>
      </w:r>
      <w:r w:rsidR="001A1EB7" w:rsidRPr="0070398F">
        <w:rPr>
          <w:lang w:val="en-US"/>
        </w:rPr>
        <w:t>full</w:t>
      </w:r>
      <w:r w:rsidRPr="0070398F">
        <w:rPr>
          <w:lang w:val="en-US"/>
        </w:rPr>
        <w:t xml:space="preserve"> cost of acquired </w:t>
      </w:r>
      <w:r w:rsidR="001A1EB7" w:rsidRPr="0070398F">
        <w:rPr>
          <w:lang w:val="en-US"/>
        </w:rPr>
        <w:t>inventories</w:t>
      </w:r>
      <w:r w:rsidRPr="0070398F">
        <w:rPr>
          <w:lang w:val="en-US"/>
        </w:rPr>
        <w:t xml:space="preserve"> is </w:t>
      </w:r>
      <w:r w:rsidR="001A1EB7" w:rsidRPr="0070398F">
        <w:rPr>
          <w:lang w:val="en-US"/>
        </w:rPr>
        <w:t>formed</w:t>
      </w:r>
      <w:r w:rsidRPr="0070398F">
        <w:rPr>
          <w:lang w:val="en-US"/>
        </w:rPr>
        <w:t xml:space="preserve"> directly on </w:t>
      </w:r>
      <w:r w:rsidR="001A1EB7" w:rsidRPr="0070398F">
        <w:rPr>
          <w:lang w:val="en-US"/>
        </w:rPr>
        <w:t>inventory control</w:t>
      </w:r>
      <w:r w:rsidRPr="0070398F">
        <w:rPr>
          <w:lang w:val="en-US"/>
        </w:rPr>
        <w:t xml:space="preserve"> accounts. Inventories are immediately recognized at full cost, with all costs arising </w:t>
      </w:r>
      <w:r w:rsidR="001A1EB7" w:rsidRPr="0070398F">
        <w:rPr>
          <w:lang w:val="en-US"/>
        </w:rPr>
        <w:t>added</w:t>
      </w:r>
      <w:r w:rsidRPr="0070398F">
        <w:rPr>
          <w:lang w:val="en-US"/>
        </w:rPr>
        <w:t xml:space="preserve"> to the </w:t>
      </w:r>
      <w:r w:rsidR="00877F5E" w:rsidRPr="0070398F">
        <w:rPr>
          <w:lang w:val="en-US"/>
        </w:rPr>
        <w:t>acquisition price</w:t>
      </w:r>
      <w:r w:rsidRPr="0070398F">
        <w:rPr>
          <w:lang w:val="en-US"/>
        </w:rPr>
        <w:t>.</w:t>
      </w:r>
    </w:p>
    <w:p w:rsidR="004170D6" w:rsidRPr="0070398F" w:rsidRDefault="004170D6" w:rsidP="004170D6">
      <w:pPr>
        <w:spacing w:before="120" w:after="120"/>
        <w:jc w:val="both"/>
        <w:rPr>
          <w:lang w:val="en-US"/>
        </w:rPr>
      </w:pPr>
      <w:r w:rsidRPr="0070398F">
        <w:rPr>
          <w:lang w:val="en-US"/>
        </w:rPr>
        <w:t xml:space="preserve">2.7.3.3. Inventories that belong to the Organization but are in transit (transfer of ownership) are recorded in the books on the date the document was issued </w:t>
      </w:r>
      <w:r w:rsidR="00877F5E" w:rsidRPr="0070398F">
        <w:rPr>
          <w:lang w:val="en-US"/>
        </w:rPr>
        <w:t>by</w:t>
      </w:r>
      <w:r w:rsidRPr="0070398F">
        <w:rPr>
          <w:lang w:val="en-US"/>
        </w:rPr>
        <w:t xml:space="preserve"> the supplier.</w:t>
      </w:r>
    </w:p>
    <w:p w:rsidR="00675959" w:rsidRPr="0070398F" w:rsidRDefault="00F0243B" w:rsidP="00687DDB">
      <w:pPr>
        <w:rPr>
          <w:rStyle w:val="af7"/>
          <w:lang w:val="en-US"/>
        </w:rPr>
      </w:pPr>
      <w:r w:rsidRPr="0070398F">
        <w:rPr>
          <w:rStyle w:val="af7"/>
          <w:lang w:val="en-US"/>
        </w:rPr>
        <w:t>2.</w:t>
      </w:r>
      <w:r w:rsidR="004A4A40" w:rsidRPr="0070398F">
        <w:rPr>
          <w:rStyle w:val="af7"/>
          <w:lang w:val="en-US"/>
        </w:rPr>
        <w:t>7</w:t>
      </w:r>
      <w:r w:rsidR="00675959" w:rsidRPr="0070398F">
        <w:rPr>
          <w:rStyle w:val="af7"/>
          <w:lang w:val="en-US"/>
        </w:rPr>
        <w:t>.</w:t>
      </w:r>
      <w:r w:rsidR="004A4A40" w:rsidRPr="0070398F">
        <w:rPr>
          <w:rStyle w:val="af7"/>
          <w:lang w:val="en-US"/>
        </w:rPr>
        <w:t>4</w:t>
      </w:r>
      <w:r w:rsidR="00675959" w:rsidRPr="0070398F">
        <w:rPr>
          <w:rStyle w:val="af7"/>
          <w:lang w:val="en-US"/>
        </w:rPr>
        <w:t xml:space="preserve">. </w:t>
      </w:r>
      <w:r w:rsidR="00D45381" w:rsidRPr="0070398F">
        <w:rPr>
          <w:rStyle w:val="af7"/>
          <w:lang w:val="en-US"/>
        </w:rPr>
        <w:t>Inventory Disposal Accounting</w:t>
      </w:r>
    </w:p>
    <w:p w:rsidR="00675959" w:rsidRPr="0070398F" w:rsidRDefault="00F0243B" w:rsidP="00675959">
      <w:pPr>
        <w:spacing w:before="120" w:after="120"/>
        <w:jc w:val="both"/>
        <w:rPr>
          <w:lang w:val="en-US"/>
        </w:rPr>
      </w:pPr>
      <w:r w:rsidRPr="0070398F">
        <w:rPr>
          <w:lang w:val="en-US"/>
        </w:rPr>
        <w:t>2.</w:t>
      </w:r>
      <w:r w:rsidR="009030D4" w:rsidRPr="0070398F">
        <w:rPr>
          <w:lang w:val="en-US"/>
        </w:rPr>
        <w:t>7</w:t>
      </w:r>
      <w:r w:rsidR="00675959" w:rsidRPr="0070398F">
        <w:rPr>
          <w:lang w:val="en-US"/>
        </w:rPr>
        <w:t>.</w:t>
      </w:r>
      <w:r w:rsidR="009030D4" w:rsidRPr="0070398F">
        <w:rPr>
          <w:lang w:val="en-US"/>
        </w:rPr>
        <w:t>4</w:t>
      </w:r>
      <w:r w:rsidR="00675959" w:rsidRPr="0070398F">
        <w:rPr>
          <w:lang w:val="en-US"/>
        </w:rPr>
        <w:t xml:space="preserve">.1. </w:t>
      </w:r>
      <w:r w:rsidR="00D45381" w:rsidRPr="0070398F">
        <w:rPr>
          <w:lang w:val="en-US"/>
        </w:rPr>
        <w:t>T</w:t>
      </w:r>
      <w:r w:rsidR="00915F49" w:rsidRPr="0070398F">
        <w:rPr>
          <w:lang w:val="en-US"/>
        </w:rPr>
        <w:t>he Organization</w:t>
      </w:r>
      <w:r w:rsidR="005273D8" w:rsidRPr="0070398F">
        <w:rPr>
          <w:lang w:val="en-US"/>
        </w:rPr>
        <w:t xml:space="preserve"> </w:t>
      </w:r>
      <w:r w:rsidR="003C539C" w:rsidRPr="0070398F">
        <w:rPr>
          <w:lang w:val="en-US"/>
        </w:rPr>
        <w:t>considers the following types of inventory disposal</w:t>
      </w:r>
      <w:r w:rsidR="00675959" w:rsidRPr="0070398F">
        <w:rPr>
          <w:lang w:val="en-US"/>
        </w:rPr>
        <w:t>:</w:t>
      </w:r>
    </w:p>
    <w:p w:rsidR="00675959" w:rsidRPr="0070398F" w:rsidRDefault="00675959" w:rsidP="00675959">
      <w:pPr>
        <w:spacing w:before="120" w:after="120"/>
        <w:jc w:val="both"/>
        <w:rPr>
          <w:lang w:val="en-US"/>
        </w:rPr>
      </w:pPr>
      <w:r w:rsidRPr="0070398F">
        <w:rPr>
          <w:lang w:val="en-US"/>
        </w:rPr>
        <w:t>–</w:t>
      </w:r>
      <w:r w:rsidR="00770088" w:rsidRPr="0070398F">
        <w:rPr>
          <w:lang w:val="en-US"/>
        </w:rPr>
        <w:t xml:space="preserve"> </w:t>
      </w:r>
      <w:r w:rsidR="003C539C" w:rsidRPr="0070398F">
        <w:rPr>
          <w:lang w:val="en-US"/>
        </w:rPr>
        <w:t>writing off inventories for administrative purposes</w:t>
      </w:r>
      <w:r w:rsidRPr="0070398F">
        <w:rPr>
          <w:lang w:val="en-US"/>
        </w:rPr>
        <w:t>;</w:t>
      </w:r>
    </w:p>
    <w:p w:rsidR="00675959" w:rsidRPr="0070398F" w:rsidRDefault="00675959" w:rsidP="00675959">
      <w:pPr>
        <w:spacing w:before="120" w:after="120"/>
        <w:jc w:val="both"/>
        <w:rPr>
          <w:lang w:val="en-US"/>
        </w:rPr>
      </w:pPr>
      <w:r w:rsidRPr="0070398F">
        <w:rPr>
          <w:lang w:val="en-US"/>
        </w:rPr>
        <w:t xml:space="preserve">– </w:t>
      </w:r>
      <w:r w:rsidR="005273D8" w:rsidRPr="0070398F">
        <w:rPr>
          <w:lang w:val="en-US"/>
        </w:rPr>
        <w:t>selling inventor</w:t>
      </w:r>
      <w:r w:rsidR="003C539C" w:rsidRPr="0070398F">
        <w:rPr>
          <w:lang w:val="en-US"/>
        </w:rPr>
        <w:t>ies</w:t>
      </w:r>
      <w:r w:rsidR="005273D8" w:rsidRPr="0070398F">
        <w:rPr>
          <w:lang w:val="en-US"/>
        </w:rPr>
        <w:t xml:space="preserve"> to a third party</w:t>
      </w:r>
      <w:r w:rsidRPr="0070398F">
        <w:rPr>
          <w:lang w:val="en-US"/>
        </w:rPr>
        <w:t>;</w:t>
      </w:r>
      <w:r w:rsidR="005273D8" w:rsidRPr="0070398F">
        <w:rPr>
          <w:lang w:val="en-US"/>
        </w:rPr>
        <w:t xml:space="preserve"> and</w:t>
      </w:r>
    </w:p>
    <w:p w:rsidR="00675959" w:rsidRPr="0070398F" w:rsidRDefault="00675959" w:rsidP="00675959">
      <w:pPr>
        <w:spacing w:before="120" w:after="120"/>
        <w:jc w:val="both"/>
        <w:rPr>
          <w:lang w:val="en-US"/>
        </w:rPr>
      </w:pPr>
      <w:r w:rsidRPr="0070398F">
        <w:rPr>
          <w:lang w:val="en-US"/>
        </w:rPr>
        <w:t xml:space="preserve">– </w:t>
      </w:r>
      <w:r w:rsidR="003C539C" w:rsidRPr="0070398F">
        <w:rPr>
          <w:lang w:val="en-US"/>
        </w:rPr>
        <w:t>other inventory disposal as a result of</w:t>
      </w:r>
      <w:r w:rsidRPr="0070398F">
        <w:rPr>
          <w:lang w:val="en-US"/>
        </w:rPr>
        <w:t>:</w:t>
      </w:r>
    </w:p>
    <w:p w:rsidR="00675959" w:rsidRPr="0070398F" w:rsidRDefault="00AA33C5" w:rsidP="00675959">
      <w:pPr>
        <w:spacing w:before="120" w:after="120"/>
        <w:jc w:val="both"/>
        <w:rPr>
          <w:lang w:val="en-US"/>
        </w:rPr>
      </w:pPr>
      <w:r w:rsidRPr="0070398F">
        <w:rPr>
          <w:lang w:val="en-US"/>
        </w:rPr>
        <w:t>a</w:t>
      </w:r>
      <w:r w:rsidR="00675959" w:rsidRPr="0070398F">
        <w:rPr>
          <w:lang w:val="en-US"/>
        </w:rPr>
        <w:t xml:space="preserve">) </w:t>
      </w:r>
      <w:r w:rsidR="004353F4" w:rsidRPr="0070398F">
        <w:rPr>
          <w:lang w:val="en-US"/>
        </w:rPr>
        <w:t>expiration</w:t>
      </w:r>
      <w:r w:rsidR="00675959" w:rsidRPr="0070398F">
        <w:rPr>
          <w:lang w:val="en-US"/>
        </w:rPr>
        <w:t xml:space="preserve">, </w:t>
      </w:r>
      <w:r w:rsidR="004353F4" w:rsidRPr="0070398F">
        <w:rPr>
          <w:lang w:val="en-US"/>
        </w:rPr>
        <w:t>obsolescence</w:t>
      </w:r>
      <w:r w:rsidR="00675959" w:rsidRPr="0070398F">
        <w:rPr>
          <w:lang w:val="en-US"/>
        </w:rPr>
        <w:t xml:space="preserve">, </w:t>
      </w:r>
      <w:r w:rsidR="004353F4" w:rsidRPr="0070398F">
        <w:rPr>
          <w:lang w:val="en-US"/>
        </w:rPr>
        <w:t>other events of loss of consumer properties</w:t>
      </w:r>
      <w:r w:rsidR="00675959" w:rsidRPr="0070398F">
        <w:rPr>
          <w:lang w:val="en-US"/>
        </w:rPr>
        <w:t>;</w:t>
      </w:r>
    </w:p>
    <w:p w:rsidR="00675959" w:rsidRPr="0070398F" w:rsidRDefault="00AA33C5" w:rsidP="00675959">
      <w:pPr>
        <w:spacing w:before="120" w:after="120"/>
        <w:jc w:val="both"/>
        <w:rPr>
          <w:lang w:val="en-US"/>
        </w:rPr>
      </w:pPr>
      <w:r w:rsidRPr="0070398F">
        <w:rPr>
          <w:lang w:val="en-US"/>
        </w:rPr>
        <w:t>b</w:t>
      </w:r>
      <w:r w:rsidR="00675959" w:rsidRPr="0070398F">
        <w:rPr>
          <w:lang w:val="en-US"/>
        </w:rPr>
        <w:t xml:space="preserve">) </w:t>
      </w:r>
      <w:r w:rsidR="004353F4" w:rsidRPr="0070398F">
        <w:rPr>
          <w:lang w:val="en-US"/>
        </w:rPr>
        <w:t>shortage identified in inventory</w:t>
      </w:r>
      <w:r w:rsidR="00675959" w:rsidRPr="0070398F">
        <w:rPr>
          <w:lang w:val="en-US"/>
        </w:rPr>
        <w:t>;</w:t>
      </w:r>
    </w:p>
    <w:p w:rsidR="00675959" w:rsidRPr="0070398F" w:rsidRDefault="00AA33C5" w:rsidP="00675959">
      <w:pPr>
        <w:spacing w:before="120" w:after="120"/>
        <w:jc w:val="both"/>
        <w:rPr>
          <w:lang w:val="en-US"/>
        </w:rPr>
      </w:pPr>
      <w:r w:rsidRPr="0070398F">
        <w:rPr>
          <w:lang w:val="en-US"/>
        </w:rPr>
        <w:t>c</w:t>
      </w:r>
      <w:r w:rsidR="00675959" w:rsidRPr="0070398F">
        <w:rPr>
          <w:lang w:val="en-US"/>
        </w:rPr>
        <w:t xml:space="preserve">) </w:t>
      </w:r>
      <w:r w:rsidR="009B1870" w:rsidRPr="0070398F">
        <w:rPr>
          <w:lang w:val="en-US"/>
        </w:rPr>
        <w:t>theft of or damage to inventories</w:t>
      </w:r>
      <w:r w:rsidR="00675959" w:rsidRPr="0070398F">
        <w:rPr>
          <w:lang w:val="en-US"/>
        </w:rPr>
        <w:t>;</w:t>
      </w:r>
      <w:r w:rsidR="009B1870" w:rsidRPr="0070398F">
        <w:rPr>
          <w:lang w:val="en-US"/>
        </w:rPr>
        <w:t xml:space="preserve"> or</w:t>
      </w:r>
    </w:p>
    <w:p w:rsidR="00675959" w:rsidRPr="0070398F" w:rsidRDefault="00AA33C5" w:rsidP="00675959">
      <w:pPr>
        <w:spacing w:before="120" w:after="120"/>
        <w:jc w:val="both"/>
        <w:rPr>
          <w:lang w:val="en-US"/>
        </w:rPr>
      </w:pPr>
      <w:r w:rsidRPr="0070398F">
        <w:rPr>
          <w:lang w:val="en-US"/>
        </w:rPr>
        <w:t>d</w:t>
      </w:r>
      <w:r w:rsidR="00675959" w:rsidRPr="0070398F">
        <w:rPr>
          <w:lang w:val="en-US"/>
        </w:rPr>
        <w:t xml:space="preserve">) </w:t>
      </w:r>
      <w:r w:rsidR="009B1870" w:rsidRPr="0070398F">
        <w:rPr>
          <w:lang w:val="en-US"/>
        </w:rPr>
        <w:t>damage to property due to an accident, fire, act of God</w:t>
      </w:r>
      <w:r w:rsidR="00675959" w:rsidRPr="0070398F">
        <w:rPr>
          <w:lang w:val="en-US"/>
        </w:rPr>
        <w:t>.</w:t>
      </w:r>
    </w:p>
    <w:p w:rsidR="00404703" w:rsidRPr="0070398F" w:rsidRDefault="00404703" w:rsidP="00675959">
      <w:pPr>
        <w:spacing w:before="120" w:after="120"/>
        <w:jc w:val="both"/>
        <w:rPr>
          <w:lang w:val="en-US"/>
        </w:rPr>
      </w:pPr>
      <w:r w:rsidRPr="0070398F">
        <w:rPr>
          <w:lang w:val="en-US"/>
        </w:rPr>
        <w:t xml:space="preserve">2.7.4.2. The recipient of the inventories makes up an inventory write-off certificate for actually used inventories </w:t>
      </w:r>
      <w:r w:rsidR="00447C13" w:rsidRPr="0070398F">
        <w:rPr>
          <w:lang w:val="en-US"/>
        </w:rPr>
        <w:t>indicating</w:t>
      </w:r>
      <w:r w:rsidRPr="0070398F">
        <w:rPr>
          <w:lang w:val="en-US"/>
        </w:rPr>
        <w:t xml:space="preserve"> the name, quantity, </w:t>
      </w:r>
      <w:r w:rsidR="00447C13" w:rsidRPr="0070398F">
        <w:rPr>
          <w:lang w:val="en-US"/>
        </w:rPr>
        <w:t>accounting</w:t>
      </w:r>
      <w:r w:rsidRPr="0070398F">
        <w:rPr>
          <w:lang w:val="en-US"/>
        </w:rPr>
        <w:t xml:space="preserve"> price and </w:t>
      </w:r>
      <w:r w:rsidR="00447C13" w:rsidRPr="0070398F">
        <w:rPr>
          <w:lang w:val="en-US"/>
        </w:rPr>
        <w:t>total</w:t>
      </w:r>
      <w:r w:rsidRPr="0070398F">
        <w:rPr>
          <w:lang w:val="en-US"/>
        </w:rPr>
        <w:t xml:space="preserve"> for each item</w:t>
      </w:r>
      <w:r w:rsidR="00447C13" w:rsidRPr="0070398F">
        <w:rPr>
          <w:lang w:val="en-US"/>
        </w:rPr>
        <w:t xml:space="preserve"> used</w:t>
      </w:r>
      <w:r w:rsidRPr="0070398F">
        <w:rPr>
          <w:lang w:val="en-US"/>
        </w:rPr>
        <w:t>.</w:t>
      </w:r>
    </w:p>
    <w:p w:rsidR="00675959" w:rsidRPr="0070398F" w:rsidRDefault="00404D93" w:rsidP="004F24CC">
      <w:pPr>
        <w:pStyle w:val="2"/>
        <w:spacing w:before="240" w:after="240"/>
        <w:rPr>
          <w:lang w:val="en-US"/>
        </w:rPr>
      </w:pPr>
      <w:r w:rsidRPr="0070398F">
        <w:rPr>
          <w:lang w:val="en-US"/>
        </w:rPr>
        <w:t>2.</w:t>
      </w:r>
      <w:r w:rsidR="009030D4" w:rsidRPr="0070398F">
        <w:rPr>
          <w:lang w:val="en-US"/>
        </w:rPr>
        <w:t>8</w:t>
      </w:r>
      <w:r w:rsidR="00675959" w:rsidRPr="0070398F">
        <w:rPr>
          <w:lang w:val="en-US"/>
        </w:rPr>
        <w:t xml:space="preserve">. </w:t>
      </w:r>
      <w:r w:rsidR="004A63A2" w:rsidRPr="0070398F">
        <w:rPr>
          <w:lang w:val="en-US"/>
        </w:rPr>
        <w:t>Employee Benefits Accounting</w:t>
      </w:r>
    </w:p>
    <w:p w:rsidR="00675959" w:rsidRPr="0070398F" w:rsidRDefault="009030D4" w:rsidP="00675959">
      <w:pPr>
        <w:spacing w:before="120" w:after="120"/>
        <w:jc w:val="both"/>
        <w:rPr>
          <w:lang w:val="en-US"/>
        </w:rPr>
      </w:pPr>
      <w:r w:rsidRPr="0070398F">
        <w:rPr>
          <w:b/>
          <w:bCs/>
          <w:lang w:val="en-US"/>
        </w:rPr>
        <w:t>2.8.1</w:t>
      </w:r>
      <w:r w:rsidRPr="0070398F">
        <w:rPr>
          <w:lang w:val="en-US"/>
        </w:rPr>
        <w:t xml:space="preserve">. </w:t>
      </w:r>
      <w:r w:rsidR="0022279D" w:rsidRPr="0070398F">
        <w:rPr>
          <w:lang w:val="en-US"/>
        </w:rPr>
        <w:t>“Employee benefits” shall mean all forms of benefits and allowances provided</w:t>
      </w:r>
      <w:r w:rsidR="00675959" w:rsidRPr="0070398F">
        <w:rPr>
          <w:lang w:val="en-US"/>
        </w:rPr>
        <w:t xml:space="preserve"> </w:t>
      </w:r>
      <w:r w:rsidR="00107A86" w:rsidRPr="0070398F">
        <w:rPr>
          <w:lang w:val="en-US"/>
        </w:rPr>
        <w:t>by the Organization</w:t>
      </w:r>
      <w:r w:rsidR="00675959" w:rsidRPr="0070398F">
        <w:rPr>
          <w:lang w:val="en-US"/>
        </w:rPr>
        <w:t xml:space="preserve"> </w:t>
      </w:r>
      <w:r w:rsidR="0022279D" w:rsidRPr="0070398F">
        <w:rPr>
          <w:lang w:val="en-US"/>
        </w:rPr>
        <w:t>to employees for services they have delivered</w:t>
      </w:r>
      <w:r w:rsidR="00675959" w:rsidRPr="0070398F">
        <w:rPr>
          <w:lang w:val="en-US"/>
        </w:rPr>
        <w:t>.</w:t>
      </w:r>
    </w:p>
    <w:p w:rsidR="00234135" w:rsidRPr="0070398F" w:rsidRDefault="00234135" w:rsidP="00675959">
      <w:pPr>
        <w:spacing w:before="120" w:after="120"/>
        <w:jc w:val="both"/>
        <w:rPr>
          <w:lang w:val="en-US"/>
        </w:rPr>
      </w:pPr>
      <w:r w:rsidRPr="0070398F">
        <w:rPr>
          <w:lang w:val="en-US"/>
        </w:rPr>
        <w:t>T</w:t>
      </w:r>
      <w:r w:rsidR="00DF1CDA" w:rsidRPr="0070398F">
        <w:rPr>
          <w:lang w:val="en-US"/>
        </w:rPr>
        <w:t>he</w:t>
      </w:r>
      <w:r w:rsidRPr="0070398F">
        <w:rPr>
          <w:lang w:val="en-US"/>
        </w:rPr>
        <w:t xml:space="preserve"> </w:t>
      </w:r>
      <w:r w:rsidR="00DF1CDA" w:rsidRPr="0070398F">
        <w:rPr>
          <w:lang w:val="en-US"/>
        </w:rPr>
        <w:t>Organization</w:t>
      </w:r>
      <w:r w:rsidR="00675959" w:rsidRPr="0070398F">
        <w:rPr>
          <w:lang w:val="en-US"/>
        </w:rPr>
        <w:t xml:space="preserve"> </w:t>
      </w:r>
      <w:r w:rsidRPr="0070398F">
        <w:rPr>
          <w:lang w:val="en-US"/>
        </w:rPr>
        <w:t xml:space="preserve">distributes the total payroll budget by months, establishes the form of employee benefits, determines the initial and maximum wages, allowances and bonuses to employees of the </w:t>
      </w:r>
      <w:r w:rsidR="003A7CF9">
        <w:rPr>
          <w:lang w:val="en-US"/>
        </w:rPr>
        <w:t>O</w:t>
      </w:r>
      <w:r w:rsidRPr="0070398F">
        <w:rPr>
          <w:lang w:val="en-US"/>
        </w:rPr>
        <w:t>rganization.</w:t>
      </w:r>
    </w:p>
    <w:p w:rsidR="009030D4" w:rsidRPr="0070398F" w:rsidRDefault="00234135" w:rsidP="009030D4">
      <w:pPr>
        <w:spacing w:before="120" w:after="120"/>
        <w:jc w:val="both"/>
        <w:rPr>
          <w:lang w:val="en-US"/>
        </w:rPr>
      </w:pPr>
      <w:r w:rsidRPr="0070398F">
        <w:rPr>
          <w:lang w:val="en-US"/>
        </w:rPr>
        <w:t xml:space="preserve">Employee benefits are paid by </w:t>
      </w:r>
      <w:r w:rsidR="00915F49" w:rsidRPr="0070398F">
        <w:rPr>
          <w:lang w:val="en-US"/>
        </w:rPr>
        <w:t>the Organization</w:t>
      </w:r>
      <w:r w:rsidRPr="0070398F">
        <w:rPr>
          <w:lang w:val="en-US"/>
        </w:rPr>
        <w:t xml:space="preserve"> in accordance with the HR Management Rules of the Islamic </w:t>
      </w:r>
      <w:r w:rsidR="00677085">
        <w:rPr>
          <w:lang w:val="en-US"/>
        </w:rPr>
        <w:t>Organization</w:t>
      </w:r>
      <w:r w:rsidRPr="0070398F">
        <w:rPr>
          <w:lang w:val="en-US"/>
        </w:rPr>
        <w:t xml:space="preserve"> for Food Security and in accordance with </w:t>
      </w:r>
      <w:r w:rsidR="007118B6" w:rsidRPr="0070398F">
        <w:rPr>
          <w:lang w:val="en-US"/>
        </w:rPr>
        <w:t xml:space="preserve">Resolution No. GA/5-2016 </w:t>
      </w:r>
      <w:r w:rsidR="007118B6" w:rsidRPr="0070398F">
        <w:rPr>
          <w:lang w:val="en-US"/>
        </w:rPr>
        <w:lastRenderedPageBreak/>
        <w:t xml:space="preserve">dated April 28, 2016 adopted at the General Assembly Meeting of the Islamic </w:t>
      </w:r>
      <w:r w:rsidR="00677085">
        <w:rPr>
          <w:lang w:val="en-US"/>
        </w:rPr>
        <w:t>Organization</w:t>
      </w:r>
      <w:r w:rsidR="007118B6" w:rsidRPr="0070398F">
        <w:rPr>
          <w:lang w:val="en-US"/>
        </w:rPr>
        <w:t xml:space="preserve"> for Food Security</w:t>
      </w:r>
      <w:r w:rsidRPr="0070398F">
        <w:rPr>
          <w:lang w:val="en-US"/>
        </w:rPr>
        <w:t xml:space="preserve"> according to positions held</w:t>
      </w:r>
      <w:r w:rsidR="00675959" w:rsidRPr="0070398F">
        <w:rPr>
          <w:lang w:val="en-US"/>
        </w:rPr>
        <w:t xml:space="preserve"> </w:t>
      </w:r>
      <w:r w:rsidR="00C74846" w:rsidRPr="0070398F">
        <w:rPr>
          <w:lang w:val="en-US"/>
        </w:rPr>
        <w:t>under individual employment agreements signed</w:t>
      </w:r>
      <w:r w:rsidR="00675959" w:rsidRPr="0070398F">
        <w:rPr>
          <w:lang w:val="en-US"/>
        </w:rPr>
        <w:t>.</w:t>
      </w:r>
    </w:p>
    <w:p w:rsidR="00675959" w:rsidRPr="0070398F" w:rsidRDefault="00675959" w:rsidP="00F94151">
      <w:pPr>
        <w:pStyle w:val="2"/>
        <w:spacing w:before="240" w:after="240"/>
        <w:rPr>
          <w:lang w:val="en-US"/>
        </w:rPr>
      </w:pPr>
      <w:r w:rsidRPr="0070398F">
        <w:rPr>
          <w:lang w:val="en-US"/>
        </w:rPr>
        <w:t>2.</w:t>
      </w:r>
      <w:r w:rsidR="009030D4" w:rsidRPr="0070398F">
        <w:rPr>
          <w:lang w:val="en-US"/>
        </w:rPr>
        <w:t>9</w:t>
      </w:r>
      <w:r w:rsidRPr="0070398F">
        <w:rPr>
          <w:lang w:val="en-US"/>
        </w:rPr>
        <w:t xml:space="preserve">. </w:t>
      </w:r>
      <w:r w:rsidR="00C479DF" w:rsidRPr="0070398F">
        <w:rPr>
          <w:lang w:val="en-US"/>
        </w:rPr>
        <w:t xml:space="preserve">Accounts Receivable </w:t>
      </w:r>
    </w:p>
    <w:p w:rsidR="001E37ED" w:rsidRPr="0070398F" w:rsidRDefault="00675959" w:rsidP="00675959">
      <w:pPr>
        <w:spacing w:before="120" w:after="120"/>
        <w:jc w:val="both"/>
        <w:rPr>
          <w:rStyle w:val="af7"/>
          <w:lang w:val="en-US"/>
        </w:rPr>
      </w:pPr>
      <w:r w:rsidRPr="0070398F">
        <w:rPr>
          <w:rStyle w:val="af7"/>
          <w:lang w:val="en-US"/>
        </w:rPr>
        <w:t>2.</w:t>
      </w:r>
      <w:r w:rsidR="009030D4" w:rsidRPr="0070398F">
        <w:rPr>
          <w:rStyle w:val="af7"/>
          <w:lang w:val="en-US"/>
        </w:rPr>
        <w:t>9</w:t>
      </w:r>
      <w:r w:rsidRPr="0070398F">
        <w:rPr>
          <w:rStyle w:val="af7"/>
          <w:lang w:val="en-US"/>
        </w:rPr>
        <w:t xml:space="preserve">.1. </w:t>
      </w:r>
      <w:r w:rsidR="00AA33C5" w:rsidRPr="0070398F">
        <w:rPr>
          <w:lang w:val="en-US"/>
        </w:rPr>
        <w:t xml:space="preserve">The Organization recognizes its accounts receivable as </w:t>
      </w:r>
      <w:r w:rsidR="00B24922" w:rsidRPr="0070398F">
        <w:rPr>
          <w:lang w:val="en-US"/>
        </w:rPr>
        <w:t xml:space="preserve">accrual of annual contributions in a fixed amount received by the organization from </w:t>
      </w:r>
      <w:r w:rsidR="003A7CF9" w:rsidRPr="0070398F">
        <w:rPr>
          <w:lang w:val="en-US"/>
        </w:rPr>
        <w:t xml:space="preserve">Member States </w:t>
      </w:r>
      <w:r w:rsidR="00B24922" w:rsidRPr="0070398F">
        <w:rPr>
          <w:lang w:val="en-US"/>
        </w:rPr>
        <w:t xml:space="preserve">and total liabilities for </w:t>
      </w:r>
      <w:r w:rsidR="004460C9" w:rsidRPr="0070398F">
        <w:rPr>
          <w:lang w:val="en-US"/>
        </w:rPr>
        <w:t>government grants</w:t>
      </w:r>
      <w:r w:rsidR="00B24922" w:rsidRPr="0070398F">
        <w:rPr>
          <w:lang w:val="en-US"/>
        </w:rPr>
        <w:t xml:space="preserve"> by party </w:t>
      </w:r>
      <w:r w:rsidR="003A7CF9" w:rsidRPr="0070398F">
        <w:rPr>
          <w:lang w:val="en-US"/>
        </w:rPr>
        <w:t xml:space="preserve">Member States </w:t>
      </w:r>
      <w:r w:rsidR="00B24922" w:rsidRPr="0070398F">
        <w:rPr>
          <w:lang w:val="en-US"/>
        </w:rPr>
        <w:t>approved by the General Assembly</w:t>
      </w:r>
      <w:r w:rsidR="001E37ED" w:rsidRPr="0070398F">
        <w:rPr>
          <w:lang w:val="en-US"/>
        </w:rPr>
        <w:t>.</w:t>
      </w:r>
    </w:p>
    <w:p w:rsidR="00675959" w:rsidRPr="0070398F" w:rsidRDefault="00B24922" w:rsidP="00675959">
      <w:pPr>
        <w:spacing w:before="120" w:after="120"/>
        <w:jc w:val="both"/>
        <w:rPr>
          <w:lang w:val="en-US"/>
        </w:rPr>
      </w:pPr>
      <w:r w:rsidRPr="0070398F">
        <w:rPr>
          <w:lang w:val="en-US"/>
        </w:rPr>
        <w:t>Any settlements between</w:t>
      </w:r>
      <w:r w:rsidR="00107A86" w:rsidRPr="0070398F">
        <w:rPr>
          <w:lang w:val="en-US"/>
        </w:rPr>
        <w:t xml:space="preserve"> the Organization</w:t>
      </w:r>
      <w:r w:rsidRPr="0070398F">
        <w:rPr>
          <w:lang w:val="en-US"/>
        </w:rPr>
        <w:t xml:space="preserve"> and </w:t>
      </w:r>
      <w:r w:rsidR="003A7CF9" w:rsidRPr="0070398F">
        <w:rPr>
          <w:lang w:val="en-US"/>
        </w:rPr>
        <w:t xml:space="preserve">Member States </w:t>
      </w:r>
      <w:r w:rsidRPr="0070398F">
        <w:rPr>
          <w:lang w:val="en-US"/>
        </w:rPr>
        <w:t>are made by wire transfers</w:t>
      </w:r>
      <w:r w:rsidR="00675959" w:rsidRPr="0070398F">
        <w:rPr>
          <w:lang w:val="en-US"/>
        </w:rPr>
        <w:t>.</w:t>
      </w:r>
    </w:p>
    <w:p w:rsidR="00675959" w:rsidRPr="0070398F" w:rsidRDefault="00675959" w:rsidP="00F94151">
      <w:pPr>
        <w:pStyle w:val="2"/>
        <w:spacing w:before="240" w:after="240"/>
        <w:rPr>
          <w:lang w:val="en-US"/>
        </w:rPr>
      </w:pPr>
      <w:r w:rsidRPr="0070398F">
        <w:rPr>
          <w:lang w:val="en-US"/>
        </w:rPr>
        <w:t>2.</w:t>
      </w:r>
      <w:r w:rsidR="009030D4" w:rsidRPr="0070398F">
        <w:rPr>
          <w:lang w:val="en-US"/>
        </w:rPr>
        <w:t>10</w:t>
      </w:r>
      <w:r w:rsidRPr="0070398F">
        <w:rPr>
          <w:lang w:val="en-US"/>
        </w:rPr>
        <w:t xml:space="preserve">. </w:t>
      </w:r>
      <w:r w:rsidR="00C479DF" w:rsidRPr="0070398F">
        <w:rPr>
          <w:lang w:val="en-US"/>
        </w:rPr>
        <w:t>Accounts Payable</w:t>
      </w:r>
    </w:p>
    <w:p w:rsidR="00675959" w:rsidRPr="0070398F" w:rsidRDefault="00B71BB9" w:rsidP="00675959">
      <w:pPr>
        <w:spacing w:before="120" w:after="120"/>
        <w:jc w:val="both"/>
        <w:rPr>
          <w:lang w:val="en-US"/>
        </w:rPr>
      </w:pPr>
      <w:r w:rsidRPr="0070398F">
        <w:rPr>
          <w:b/>
          <w:bCs/>
          <w:lang w:val="en-US"/>
        </w:rPr>
        <w:t>2.10.1.</w:t>
      </w:r>
      <w:r w:rsidRPr="0070398F">
        <w:rPr>
          <w:lang w:val="en-US"/>
        </w:rPr>
        <w:t xml:space="preserve"> </w:t>
      </w:r>
      <w:r w:rsidR="00B24922" w:rsidRPr="0070398F">
        <w:rPr>
          <w:lang w:val="en-US"/>
        </w:rPr>
        <w:t>Accounts payable are the existing</w:t>
      </w:r>
      <w:r w:rsidR="00915F49" w:rsidRPr="0070398F">
        <w:rPr>
          <w:lang w:val="en-US"/>
        </w:rPr>
        <w:t xml:space="preserve"> Organization’s</w:t>
      </w:r>
      <w:r w:rsidR="00B24922" w:rsidRPr="0070398F">
        <w:rPr>
          <w:lang w:val="en-US"/>
        </w:rPr>
        <w:t xml:space="preserve"> liabilities arising </w:t>
      </w:r>
      <w:r w:rsidR="00C74846" w:rsidRPr="0070398F">
        <w:rPr>
          <w:lang w:val="en-US"/>
        </w:rPr>
        <w:t>from past events that will cause disposal of resources generating economic benefits from</w:t>
      </w:r>
      <w:r w:rsidR="00675959" w:rsidRPr="0070398F">
        <w:rPr>
          <w:lang w:val="en-US"/>
        </w:rPr>
        <w:t xml:space="preserve"> </w:t>
      </w:r>
      <w:r w:rsidR="00915F49" w:rsidRPr="0070398F">
        <w:rPr>
          <w:lang w:val="en-US"/>
        </w:rPr>
        <w:t>the Organization</w:t>
      </w:r>
      <w:r w:rsidR="00C74846" w:rsidRPr="0070398F">
        <w:rPr>
          <w:lang w:val="en-US"/>
        </w:rPr>
        <w:t>, if discharged</w:t>
      </w:r>
      <w:r w:rsidR="00675959" w:rsidRPr="0070398F">
        <w:rPr>
          <w:lang w:val="en-US"/>
        </w:rPr>
        <w:t xml:space="preserve">. </w:t>
      </w:r>
      <w:r w:rsidR="00C74846" w:rsidRPr="0070398F">
        <w:rPr>
          <w:lang w:val="en-US"/>
        </w:rPr>
        <w:t>For the purpose of preparing the</w:t>
      </w:r>
      <w:r w:rsidR="00915F49" w:rsidRPr="0070398F">
        <w:rPr>
          <w:lang w:val="en-US"/>
        </w:rPr>
        <w:t xml:space="preserve"> </w:t>
      </w:r>
      <w:r w:rsidR="00C74846" w:rsidRPr="0070398F">
        <w:rPr>
          <w:lang w:val="en-US"/>
        </w:rPr>
        <w:t xml:space="preserve">financial statements, the </w:t>
      </w:r>
      <w:r w:rsidR="00915F49" w:rsidRPr="0070398F">
        <w:rPr>
          <w:lang w:val="en-US"/>
        </w:rPr>
        <w:t>Organization</w:t>
      </w:r>
      <w:r w:rsidR="00C74846" w:rsidRPr="0070398F">
        <w:rPr>
          <w:lang w:val="en-US"/>
        </w:rPr>
        <w:t xml:space="preserve"> applies the following </w:t>
      </w:r>
      <w:r w:rsidR="003A7CF9" w:rsidRPr="0070398F">
        <w:rPr>
          <w:lang w:val="en-US"/>
        </w:rPr>
        <w:t xml:space="preserve">payables </w:t>
      </w:r>
      <w:r w:rsidR="00C74846" w:rsidRPr="0070398F">
        <w:rPr>
          <w:lang w:val="en-US"/>
        </w:rPr>
        <w:t xml:space="preserve">grouping: </w:t>
      </w:r>
      <w:r w:rsidR="00CF3D3F" w:rsidRPr="0070398F">
        <w:rPr>
          <w:lang w:val="en-US"/>
        </w:rPr>
        <w:t>trade and other payables</w:t>
      </w:r>
      <w:r w:rsidR="00675959" w:rsidRPr="0070398F">
        <w:rPr>
          <w:lang w:val="en-US"/>
        </w:rPr>
        <w:t>.</w:t>
      </w:r>
    </w:p>
    <w:p w:rsidR="008E3A9C" w:rsidRPr="0070398F" w:rsidRDefault="008E3A9C" w:rsidP="00675959">
      <w:pPr>
        <w:spacing w:before="120" w:after="120"/>
        <w:jc w:val="both"/>
        <w:rPr>
          <w:lang w:val="en-US"/>
        </w:rPr>
      </w:pPr>
      <w:r w:rsidRPr="0070398F">
        <w:rPr>
          <w:lang w:val="en-US"/>
        </w:rPr>
        <w:t>No liabilities can be assumed in respect of expenses for which no provision has been made to the budget, unless the General Assembly approves such expenses to be made from the Reserve Account.</w:t>
      </w:r>
    </w:p>
    <w:p w:rsidR="00675959" w:rsidRPr="0070398F" w:rsidRDefault="003C3970" w:rsidP="00F94151">
      <w:pPr>
        <w:pStyle w:val="2"/>
        <w:spacing w:before="240" w:after="240"/>
        <w:rPr>
          <w:lang w:val="en-US"/>
        </w:rPr>
      </w:pPr>
      <w:r w:rsidRPr="0070398F">
        <w:rPr>
          <w:lang w:val="en-US"/>
        </w:rPr>
        <w:t>2.1</w:t>
      </w:r>
      <w:r w:rsidR="009030D4" w:rsidRPr="0070398F">
        <w:rPr>
          <w:lang w:val="en-US"/>
        </w:rPr>
        <w:t>1</w:t>
      </w:r>
      <w:r w:rsidR="00675959" w:rsidRPr="0070398F">
        <w:rPr>
          <w:lang w:val="en-US"/>
        </w:rPr>
        <w:t xml:space="preserve">. </w:t>
      </w:r>
      <w:r w:rsidR="00CB0E9A" w:rsidRPr="0070398F">
        <w:rPr>
          <w:lang w:val="en-US"/>
        </w:rPr>
        <w:t>Payments to/from the National Budget</w:t>
      </w:r>
    </w:p>
    <w:p w:rsidR="004B331A" w:rsidRPr="0070398F" w:rsidRDefault="009E5B41" w:rsidP="009030D4">
      <w:pPr>
        <w:spacing w:before="120" w:after="120"/>
        <w:jc w:val="both"/>
        <w:rPr>
          <w:lang w:val="en-US"/>
        </w:rPr>
      </w:pPr>
      <w:r w:rsidRPr="0070398F">
        <w:rPr>
          <w:b/>
          <w:lang w:val="en-US"/>
        </w:rPr>
        <w:t>2.1</w:t>
      </w:r>
      <w:r w:rsidR="009030D4" w:rsidRPr="0070398F">
        <w:rPr>
          <w:b/>
          <w:lang w:val="en-US"/>
        </w:rPr>
        <w:t>1</w:t>
      </w:r>
      <w:r w:rsidRPr="0070398F">
        <w:rPr>
          <w:b/>
          <w:lang w:val="en-US"/>
        </w:rPr>
        <w:t xml:space="preserve">.1. </w:t>
      </w:r>
      <w:r w:rsidR="00FA325D" w:rsidRPr="0070398F">
        <w:rPr>
          <w:b/>
          <w:lang w:val="en-US"/>
        </w:rPr>
        <w:t>T</w:t>
      </w:r>
      <w:r w:rsidR="00DF1CDA" w:rsidRPr="0070398F">
        <w:rPr>
          <w:b/>
          <w:lang w:val="en-US"/>
        </w:rPr>
        <w:t>he Organization</w:t>
      </w:r>
      <w:r w:rsidR="004B331A" w:rsidRPr="0070398F">
        <w:rPr>
          <w:b/>
          <w:lang w:val="en-US"/>
        </w:rPr>
        <w:t xml:space="preserve">, </w:t>
      </w:r>
      <w:r w:rsidR="006F0EDA" w:rsidRPr="0070398F">
        <w:rPr>
          <w:b/>
          <w:lang w:val="en-US"/>
        </w:rPr>
        <w:t>its assets, income and other property are exempted from any and all direct taxes</w:t>
      </w:r>
      <w:r w:rsidR="004B331A" w:rsidRPr="0070398F">
        <w:rPr>
          <w:lang w:val="en-US"/>
        </w:rPr>
        <w:t>,</w:t>
      </w:r>
      <w:r w:rsidR="006F0EDA" w:rsidRPr="0070398F">
        <w:rPr>
          <w:lang w:val="en-US"/>
        </w:rPr>
        <w:t xml:space="preserve"> including customs taxes, charges and levies related to inventories imported or exported</w:t>
      </w:r>
      <w:r w:rsidR="004B331A" w:rsidRPr="0070398F">
        <w:rPr>
          <w:lang w:val="en-US"/>
        </w:rPr>
        <w:t xml:space="preserve"> </w:t>
      </w:r>
      <w:r w:rsidR="00107A86" w:rsidRPr="0070398F">
        <w:rPr>
          <w:lang w:val="en-US"/>
        </w:rPr>
        <w:t>by the Organization</w:t>
      </w:r>
      <w:r w:rsidR="004B331A" w:rsidRPr="0070398F">
        <w:rPr>
          <w:lang w:val="en-US"/>
        </w:rPr>
        <w:t xml:space="preserve"> </w:t>
      </w:r>
      <w:r w:rsidR="006F0EDA" w:rsidRPr="0070398F">
        <w:rPr>
          <w:lang w:val="en-US"/>
        </w:rPr>
        <w:t>for business use as provided for by the laws</w:t>
      </w:r>
      <w:r w:rsidR="004B331A" w:rsidRPr="0070398F">
        <w:rPr>
          <w:lang w:val="en-US"/>
        </w:rPr>
        <w:t xml:space="preserve"> </w:t>
      </w:r>
      <w:r w:rsidR="00386919" w:rsidRPr="0070398F">
        <w:rPr>
          <w:lang w:val="en-US"/>
        </w:rPr>
        <w:t>of the Republic of Kazakhstan</w:t>
      </w:r>
      <w:r w:rsidR="004B331A" w:rsidRPr="0070398F">
        <w:rPr>
          <w:lang w:val="en-US"/>
        </w:rPr>
        <w:t xml:space="preserve">. </w:t>
      </w:r>
    </w:p>
    <w:p w:rsidR="008E104F" w:rsidRPr="0070398F" w:rsidRDefault="00FA325D" w:rsidP="008E104F">
      <w:pPr>
        <w:jc w:val="both"/>
        <w:rPr>
          <w:lang w:val="en-US"/>
        </w:rPr>
      </w:pPr>
      <w:r w:rsidRPr="0070398F">
        <w:rPr>
          <w:color w:val="000000"/>
          <w:lang w:val="en-US"/>
        </w:rPr>
        <w:t>T</w:t>
      </w:r>
      <w:r w:rsidR="00915F49" w:rsidRPr="0070398F">
        <w:rPr>
          <w:color w:val="000000"/>
          <w:lang w:val="en-US"/>
        </w:rPr>
        <w:t>he Organization’s</w:t>
      </w:r>
      <w:r w:rsidR="008E104F" w:rsidRPr="0070398F">
        <w:rPr>
          <w:color w:val="000000"/>
          <w:lang w:val="en-US"/>
        </w:rPr>
        <w:t xml:space="preserve"> </w:t>
      </w:r>
      <w:r w:rsidRPr="0070398F">
        <w:rPr>
          <w:color w:val="000000"/>
          <w:lang w:val="en-US"/>
        </w:rPr>
        <w:t>officers and their family members residing together in the Republic of Kazakhstan, who are not citizens</w:t>
      </w:r>
      <w:r w:rsidR="008E104F" w:rsidRPr="0070398F">
        <w:rPr>
          <w:color w:val="000000"/>
          <w:lang w:val="en-US"/>
        </w:rPr>
        <w:t xml:space="preserve"> </w:t>
      </w:r>
      <w:r w:rsidR="00386919" w:rsidRPr="0070398F">
        <w:rPr>
          <w:color w:val="000000"/>
          <w:lang w:val="en-US"/>
        </w:rPr>
        <w:t>of the Republic of Kazakhstan</w:t>
      </w:r>
      <w:r w:rsidRPr="0070398F">
        <w:rPr>
          <w:color w:val="000000"/>
          <w:lang w:val="en-US"/>
        </w:rPr>
        <w:t>, shall be</w:t>
      </w:r>
      <w:r w:rsidR="006F0EDA" w:rsidRPr="0070398F">
        <w:rPr>
          <w:color w:val="000000"/>
          <w:lang w:val="en-US"/>
        </w:rPr>
        <w:t xml:space="preserve"> exempted from</w:t>
      </w:r>
      <w:r w:rsidR="008E104F" w:rsidRPr="0070398F">
        <w:rPr>
          <w:color w:val="000000"/>
          <w:lang w:val="en-US"/>
        </w:rPr>
        <w:t>:</w:t>
      </w:r>
    </w:p>
    <w:p w:rsidR="008E104F" w:rsidRPr="0070398F" w:rsidRDefault="008E104F" w:rsidP="00602A63">
      <w:pPr>
        <w:spacing w:before="60" w:after="60"/>
        <w:jc w:val="both"/>
        <w:rPr>
          <w:lang w:val="en-US"/>
        </w:rPr>
      </w:pPr>
      <w:bookmarkStart w:id="1" w:name="z66"/>
      <w:r w:rsidRPr="0070398F">
        <w:rPr>
          <w:color w:val="000000"/>
          <w:lang w:val="en-US"/>
        </w:rPr>
        <w:t xml:space="preserve">1) </w:t>
      </w:r>
      <w:r w:rsidR="006F0EDA" w:rsidRPr="0070398F">
        <w:rPr>
          <w:color w:val="000000"/>
          <w:lang w:val="en-US"/>
        </w:rPr>
        <w:t>taxes applicable to wages or other benefits</w:t>
      </w:r>
      <w:r w:rsidRPr="0070398F">
        <w:rPr>
          <w:color w:val="000000"/>
          <w:lang w:val="en-US"/>
        </w:rPr>
        <w:t xml:space="preserve"> </w:t>
      </w:r>
      <w:r w:rsidR="00894E64" w:rsidRPr="0070398F">
        <w:rPr>
          <w:color w:val="000000"/>
          <w:lang w:val="en-US"/>
        </w:rPr>
        <w:t>paid</w:t>
      </w:r>
      <w:r w:rsidRPr="0070398F">
        <w:rPr>
          <w:color w:val="000000"/>
          <w:lang w:val="en-US"/>
        </w:rPr>
        <w:t xml:space="preserve"> </w:t>
      </w:r>
      <w:r w:rsidR="00107A86" w:rsidRPr="0070398F">
        <w:rPr>
          <w:color w:val="000000"/>
          <w:lang w:val="en-US"/>
        </w:rPr>
        <w:t>by the Organization</w:t>
      </w:r>
      <w:r w:rsidRPr="0070398F">
        <w:rPr>
          <w:color w:val="000000"/>
          <w:lang w:val="en-US"/>
        </w:rPr>
        <w:t>;</w:t>
      </w:r>
    </w:p>
    <w:p w:rsidR="008E104F" w:rsidRPr="0070398F" w:rsidRDefault="008E104F" w:rsidP="00602A63">
      <w:pPr>
        <w:spacing w:before="60" w:after="60"/>
        <w:jc w:val="both"/>
        <w:rPr>
          <w:lang w:val="en-US"/>
        </w:rPr>
      </w:pPr>
      <w:bookmarkStart w:id="2" w:name="z67"/>
      <w:bookmarkEnd w:id="1"/>
      <w:r w:rsidRPr="0070398F">
        <w:rPr>
          <w:color w:val="000000"/>
          <w:lang w:val="en-US"/>
        </w:rPr>
        <w:t xml:space="preserve">2) </w:t>
      </w:r>
      <w:r w:rsidR="006F0EDA" w:rsidRPr="0070398F">
        <w:rPr>
          <w:color w:val="000000"/>
          <w:lang w:val="en-US"/>
        </w:rPr>
        <w:t>all mandatory state duties</w:t>
      </w:r>
      <w:r w:rsidRPr="0070398F">
        <w:rPr>
          <w:color w:val="000000"/>
          <w:lang w:val="en-US"/>
        </w:rPr>
        <w:t>;</w:t>
      </w:r>
      <w:r w:rsidR="00894E64" w:rsidRPr="0070398F">
        <w:rPr>
          <w:color w:val="000000"/>
          <w:lang w:val="en-US"/>
        </w:rPr>
        <w:t xml:space="preserve"> and</w:t>
      </w:r>
    </w:p>
    <w:p w:rsidR="008E104F" w:rsidRPr="0070398F" w:rsidRDefault="008E104F" w:rsidP="00602A63">
      <w:pPr>
        <w:spacing w:before="60" w:after="60"/>
        <w:jc w:val="both"/>
        <w:rPr>
          <w:lang w:val="en-US"/>
        </w:rPr>
      </w:pPr>
      <w:bookmarkStart w:id="3" w:name="z69"/>
      <w:bookmarkEnd w:id="2"/>
      <w:r w:rsidRPr="0070398F">
        <w:rPr>
          <w:color w:val="000000"/>
          <w:lang w:val="en-US"/>
        </w:rPr>
        <w:t xml:space="preserve">3) </w:t>
      </w:r>
      <w:r w:rsidR="006F0EDA" w:rsidRPr="0070398F">
        <w:rPr>
          <w:color w:val="000000"/>
          <w:lang w:val="en-US"/>
        </w:rPr>
        <w:t>customs duties, taxes and related charges for items and other property intended to meet initial requirements</w:t>
      </w:r>
      <w:r w:rsidR="00EC07CC" w:rsidRPr="0070398F">
        <w:rPr>
          <w:color w:val="000000"/>
          <w:lang w:val="en-US"/>
        </w:rPr>
        <w:t xml:space="preserve"> and</w:t>
      </w:r>
      <w:r w:rsidR="008B2141">
        <w:rPr>
          <w:color w:val="000000"/>
          <w:lang w:val="en-US"/>
        </w:rPr>
        <w:t xml:space="preserve"> they</w:t>
      </w:r>
      <w:r w:rsidR="00EC07CC" w:rsidRPr="0070398F">
        <w:rPr>
          <w:lang w:val="en-US"/>
        </w:rPr>
        <w:t xml:space="preserve"> shall have right to duty-free import of personal belongings and one vehicle, </w:t>
      </w:r>
      <w:r w:rsidR="008B2141">
        <w:rPr>
          <w:lang w:val="en-US"/>
        </w:rPr>
        <w:t>save</w:t>
      </w:r>
      <w:r w:rsidR="00EC07CC" w:rsidRPr="0070398F">
        <w:rPr>
          <w:lang w:val="en-US"/>
        </w:rPr>
        <w:t xml:space="preserve"> charges for transportation, storage, customs clearance beyond the designated locations or working hours of a respective customs service and similar services. The use of the abovementioned items and property for other purposes, including selling, transferring for use, results in charging customs duties and taxes and compliance with other requirements in accordance with the laws </w:t>
      </w:r>
      <w:r w:rsidR="00386919" w:rsidRPr="0070398F">
        <w:rPr>
          <w:color w:val="000000"/>
          <w:lang w:val="en-US"/>
        </w:rPr>
        <w:t>of the Republic of Kazakhstan</w:t>
      </w:r>
      <w:r w:rsidRPr="0070398F">
        <w:rPr>
          <w:color w:val="000000"/>
          <w:lang w:val="en-US"/>
        </w:rPr>
        <w:t>;</w:t>
      </w:r>
    </w:p>
    <w:bookmarkEnd w:id="3"/>
    <w:p w:rsidR="008E104F" w:rsidRPr="0070398F" w:rsidRDefault="00EC07CC" w:rsidP="00A94ABD">
      <w:pPr>
        <w:spacing w:before="120" w:after="120"/>
        <w:jc w:val="both"/>
        <w:rPr>
          <w:lang w:val="en-US"/>
        </w:rPr>
      </w:pPr>
      <w:r w:rsidRPr="0070398F">
        <w:rPr>
          <w:lang w:val="en-US"/>
        </w:rPr>
        <w:t>T</w:t>
      </w:r>
      <w:r w:rsidR="00915F49" w:rsidRPr="0070398F">
        <w:rPr>
          <w:lang w:val="en-US"/>
        </w:rPr>
        <w:t>he Organization’s</w:t>
      </w:r>
      <w:r w:rsidRPr="0070398F">
        <w:rPr>
          <w:lang w:val="en-US"/>
        </w:rPr>
        <w:t xml:space="preserve"> employees</w:t>
      </w:r>
      <w:r w:rsidR="008E104F" w:rsidRPr="0070398F">
        <w:rPr>
          <w:lang w:val="en-US"/>
        </w:rPr>
        <w:t>,</w:t>
      </w:r>
      <w:r w:rsidRPr="0070398F">
        <w:rPr>
          <w:lang w:val="en-US"/>
        </w:rPr>
        <w:t xml:space="preserve"> who are</w:t>
      </w:r>
      <w:r w:rsidR="008E104F" w:rsidRPr="0070398F">
        <w:rPr>
          <w:lang w:val="en-US"/>
        </w:rPr>
        <w:t xml:space="preserve"> </w:t>
      </w:r>
      <w:r w:rsidRPr="0070398F">
        <w:rPr>
          <w:lang w:val="en-US"/>
        </w:rPr>
        <w:t>the citizens or residents of Kazakhstan</w:t>
      </w:r>
      <w:r w:rsidR="008E104F" w:rsidRPr="0070398F">
        <w:rPr>
          <w:lang w:val="en-US"/>
        </w:rPr>
        <w:t xml:space="preserve">, </w:t>
      </w:r>
      <w:r w:rsidR="00894E64" w:rsidRPr="0070398F">
        <w:rPr>
          <w:lang w:val="en-US"/>
        </w:rPr>
        <w:t xml:space="preserve">will be </w:t>
      </w:r>
      <w:r w:rsidR="00DB26E1" w:rsidRPr="0070398F">
        <w:rPr>
          <w:lang w:val="en-US"/>
        </w:rPr>
        <w:t>treated</w:t>
      </w:r>
      <w:r w:rsidR="00894E64" w:rsidRPr="0070398F">
        <w:rPr>
          <w:lang w:val="en-US"/>
        </w:rPr>
        <w:t xml:space="preserve"> according to the laws and regulations of Kazakhstan </w:t>
      </w:r>
      <w:r w:rsidR="0051756D" w:rsidRPr="0070398F">
        <w:rPr>
          <w:lang w:val="en-US"/>
        </w:rPr>
        <w:t>in respect of labour laws and social insurance laws</w:t>
      </w:r>
      <w:r w:rsidR="008E104F" w:rsidRPr="0070398F">
        <w:rPr>
          <w:lang w:val="en-US"/>
        </w:rPr>
        <w:t xml:space="preserve">. </w:t>
      </w:r>
    </w:p>
    <w:p w:rsidR="00675959" w:rsidRPr="0070398F" w:rsidRDefault="003C3970" w:rsidP="00F94151">
      <w:pPr>
        <w:pStyle w:val="2"/>
        <w:spacing w:before="240" w:after="240"/>
        <w:rPr>
          <w:lang w:val="en-US"/>
        </w:rPr>
      </w:pPr>
      <w:r w:rsidRPr="0070398F">
        <w:rPr>
          <w:lang w:val="en-US"/>
        </w:rPr>
        <w:t>2.1</w:t>
      </w:r>
      <w:r w:rsidR="009030D4" w:rsidRPr="0070398F">
        <w:rPr>
          <w:lang w:val="en-US"/>
        </w:rPr>
        <w:t>2</w:t>
      </w:r>
      <w:r w:rsidR="00675959" w:rsidRPr="0070398F">
        <w:rPr>
          <w:lang w:val="en-US"/>
        </w:rPr>
        <w:t xml:space="preserve">. </w:t>
      </w:r>
      <w:r w:rsidR="003B4DCE" w:rsidRPr="0070398F">
        <w:rPr>
          <w:lang w:val="en-US"/>
        </w:rPr>
        <w:t>Expense Recognition</w:t>
      </w:r>
    </w:p>
    <w:p w:rsidR="00675959" w:rsidRPr="0070398F" w:rsidRDefault="00FA50A8" w:rsidP="00675959">
      <w:pPr>
        <w:spacing w:before="120" w:after="120"/>
        <w:jc w:val="both"/>
        <w:rPr>
          <w:rStyle w:val="af7"/>
          <w:lang w:val="en-US"/>
        </w:rPr>
      </w:pPr>
      <w:r w:rsidRPr="0070398F">
        <w:rPr>
          <w:rStyle w:val="af7"/>
          <w:lang w:val="en-US"/>
        </w:rPr>
        <w:t>2.1</w:t>
      </w:r>
      <w:r w:rsidR="009030D4" w:rsidRPr="0070398F">
        <w:rPr>
          <w:rStyle w:val="af7"/>
          <w:lang w:val="en-US"/>
        </w:rPr>
        <w:t>2</w:t>
      </w:r>
      <w:r w:rsidR="00675959" w:rsidRPr="0070398F">
        <w:rPr>
          <w:rStyle w:val="af7"/>
          <w:lang w:val="en-US"/>
        </w:rPr>
        <w:t xml:space="preserve">.1. </w:t>
      </w:r>
      <w:r w:rsidR="00DB26E1" w:rsidRPr="0070398F">
        <w:rPr>
          <w:rStyle w:val="af7"/>
          <w:lang w:val="en-US"/>
        </w:rPr>
        <w:t>Separate expense accounting</w:t>
      </w:r>
    </w:p>
    <w:p w:rsidR="001C00A0" w:rsidRPr="0070398F" w:rsidRDefault="001C00A0" w:rsidP="001C00A0">
      <w:pPr>
        <w:spacing w:before="120" w:after="120"/>
        <w:jc w:val="both"/>
        <w:rPr>
          <w:lang w:val="en-US"/>
        </w:rPr>
      </w:pPr>
      <w:r w:rsidRPr="0070398F">
        <w:rPr>
          <w:lang w:val="en-US"/>
        </w:rPr>
        <w:t xml:space="preserve">The costs of using assets and services are recognized and accounted for as expenses for the period </w:t>
      </w:r>
      <w:r w:rsidR="008A6BF3" w:rsidRPr="0070398F">
        <w:rPr>
          <w:lang w:val="en-US"/>
        </w:rPr>
        <w:t>when</w:t>
      </w:r>
      <w:r w:rsidRPr="0070398F">
        <w:rPr>
          <w:lang w:val="en-US"/>
        </w:rPr>
        <w:t xml:space="preserve"> the related income is recognized.</w:t>
      </w:r>
    </w:p>
    <w:p w:rsidR="001C00A0" w:rsidRPr="0070398F" w:rsidRDefault="00827BD8" w:rsidP="001C00A0">
      <w:pPr>
        <w:spacing w:before="120" w:after="120"/>
        <w:jc w:val="both"/>
        <w:rPr>
          <w:lang w:val="en-US"/>
        </w:rPr>
      </w:pPr>
      <w:r w:rsidRPr="0070398F">
        <w:rPr>
          <w:lang w:val="en-US"/>
        </w:rPr>
        <w:t>Expenses</w:t>
      </w:r>
      <w:r w:rsidR="001C00A0" w:rsidRPr="0070398F">
        <w:rPr>
          <w:lang w:val="en-US"/>
        </w:rPr>
        <w:t xml:space="preserve"> are classified </w:t>
      </w:r>
      <w:r w:rsidRPr="0070398F">
        <w:rPr>
          <w:lang w:val="en-US"/>
        </w:rPr>
        <w:t>as follows</w:t>
      </w:r>
      <w:r w:rsidR="001C00A0" w:rsidRPr="0070398F">
        <w:rPr>
          <w:lang w:val="en-US"/>
        </w:rPr>
        <w:t>:</w:t>
      </w:r>
    </w:p>
    <w:p w:rsidR="001C00A0" w:rsidRPr="0070398F" w:rsidRDefault="001C00A0" w:rsidP="001C00A0">
      <w:pPr>
        <w:spacing w:before="120" w:after="120"/>
        <w:jc w:val="both"/>
        <w:rPr>
          <w:lang w:val="en-US"/>
        </w:rPr>
      </w:pPr>
      <w:r w:rsidRPr="0070398F">
        <w:rPr>
          <w:lang w:val="en-US"/>
        </w:rPr>
        <w:lastRenderedPageBreak/>
        <w:t xml:space="preserve">a) direct </w:t>
      </w:r>
      <w:r w:rsidR="00503E11" w:rsidRPr="0070398F">
        <w:rPr>
          <w:lang w:val="en-US"/>
        </w:rPr>
        <w:t>expenses –</w:t>
      </w:r>
      <w:r w:rsidRPr="0070398F">
        <w:rPr>
          <w:lang w:val="en-US"/>
        </w:rPr>
        <w:t xml:space="preserve"> </w:t>
      </w:r>
      <w:r w:rsidR="008239A8" w:rsidRPr="0070398F">
        <w:rPr>
          <w:lang w:val="en-US"/>
        </w:rPr>
        <w:t>expenses</w:t>
      </w:r>
      <w:r w:rsidRPr="0070398F">
        <w:rPr>
          <w:lang w:val="en-US"/>
        </w:rPr>
        <w:t xml:space="preserve"> associated with the provision of services that can be directly included in the cost of services. Such expenses are recognized as</w:t>
      </w:r>
      <w:r w:rsidR="008239A8" w:rsidRPr="0070398F">
        <w:rPr>
          <w:lang w:val="en-US"/>
        </w:rPr>
        <w:t xml:space="preserve"> soon as</w:t>
      </w:r>
      <w:r w:rsidRPr="0070398F">
        <w:rPr>
          <w:lang w:val="en-US"/>
        </w:rPr>
        <w:t xml:space="preserve"> income is recognized;</w:t>
      </w:r>
      <w:r w:rsidR="008239A8" w:rsidRPr="0070398F">
        <w:rPr>
          <w:lang w:val="en-US"/>
        </w:rPr>
        <w:t xml:space="preserve"> and</w:t>
      </w:r>
    </w:p>
    <w:p w:rsidR="001C00A0" w:rsidRPr="0070398F" w:rsidRDefault="001C00A0" w:rsidP="001C00A0">
      <w:pPr>
        <w:spacing w:before="120" w:after="120"/>
        <w:jc w:val="both"/>
        <w:rPr>
          <w:lang w:val="en-US"/>
        </w:rPr>
      </w:pPr>
      <w:r w:rsidRPr="0070398F">
        <w:rPr>
          <w:lang w:val="en-US"/>
        </w:rPr>
        <w:t xml:space="preserve">b) period expenses </w:t>
      </w:r>
      <w:r w:rsidR="008239A8" w:rsidRPr="0070398F">
        <w:rPr>
          <w:lang w:val="en-US"/>
        </w:rPr>
        <w:t>–</w:t>
      </w:r>
      <w:r w:rsidRPr="0070398F">
        <w:rPr>
          <w:lang w:val="en-US"/>
        </w:rPr>
        <w:t xml:space="preserve"> </w:t>
      </w:r>
      <w:r w:rsidR="008239A8" w:rsidRPr="0070398F">
        <w:rPr>
          <w:lang w:val="en-US"/>
        </w:rPr>
        <w:t xml:space="preserve">selling </w:t>
      </w:r>
      <w:r w:rsidRPr="0070398F">
        <w:rPr>
          <w:lang w:val="en-US"/>
        </w:rPr>
        <w:t xml:space="preserve">expenses and general administrative expenses. These expenses are recognized over the period </w:t>
      </w:r>
      <w:r w:rsidR="008239A8" w:rsidRPr="0070398F">
        <w:rPr>
          <w:lang w:val="en-US"/>
        </w:rPr>
        <w:t>where</w:t>
      </w:r>
      <w:r w:rsidRPr="0070398F">
        <w:rPr>
          <w:lang w:val="en-US"/>
        </w:rPr>
        <w:t xml:space="preserve"> they arise.</w:t>
      </w:r>
    </w:p>
    <w:p w:rsidR="00675959" w:rsidRPr="0070398F" w:rsidRDefault="00675959" w:rsidP="00675959">
      <w:pPr>
        <w:spacing w:before="120" w:after="120"/>
        <w:jc w:val="both"/>
        <w:rPr>
          <w:rStyle w:val="af7"/>
          <w:lang w:val="en-US"/>
        </w:rPr>
      </w:pPr>
      <w:r w:rsidRPr="0070398F">
        <w:rPr>
          <w:rStyle w:val="af7"/>
          <w:lang w:val="en-US"/>
        </w:rPr>
        <w:t>2.</w:t>
      </w:r>
      <w:r w:rsidR="00FA50A8" w:rsidRPr="0070398F">
        <w:rPr>
          <w:rStyle w:val="af7"/>
          <w:lang w:val="en-US"/>
        </w:rPr>
        <w:t>1</w:t>
      </w:r>
      <w:r w:rsidR="009030D4" w:rsidRPr="0070398F">
        <w:rPr>
          <w:rStyle w:val="af7"/>
          <w:lang w:val="en-US"/>
        </w:rPr>
        <w:t>2</w:t>
      </w:r>
      <w:r w:rsidRPr="0070398F">
        <w:rPr>
          <w:rStyle w:val="af7"/>
          <w:lang w:val="en-US"/>
        </w:rPr>
        <w:t>.</w:t>
      </w:r>
      <w:r w:rsidR="006C2CE1" w:rsidRPr="0070398F">
        <w:rPr>
          <w:rStyle w:val="af7"/>
          <w:lang w:val="en-US"/>
        </w:rPr>
        <w:t>2</w:t>
      </w:r>
      <w:r w:rsidRPr="0070398F">
        <w:rPr>
          <w:rStyle w:val="af7"/>
          <w:lang w:val="en-US"/>
        </w:rPr>
        <w:t xml:space="preserve">. </w:t>
      </w:r>
      <w:r w:rsidR="008239A8" w:rsidRPr="0070398F">
        <w:rPr>
          <w:rStyle w:val="af7"/>
          <w:lang w:val="en-US"/>
        </w:rPr>
        <w:t>Period expenses</w:t>
      </w:r>
    </w:p>
    <w:p w:rsidR="008239A8" w:rsidRPr="0070398F" w:rsidRDefault="008239A8" w:rsidP="00B71BB9">
      <w:pPr>
        <w:spacing w:before="120" w:after="120"/>
        <w:jc w:val="both"/>
        <w:rPr>
          <w:lang w:val="en-US"/>
        </w:rPr>
      </w:pPr>
      <w:r w:rsidRPr="0070398F">
        <w:rPr>
          <w:lang w:val="en-US"/>
        </w:rPr>
        <w:t>Period expenses are included in the accounting period where they were incurred. These include general and administrative expenses, which are the expenses associated with the management and arrangement of work and services.</w:t>
      </w:r>
    </w:p>
    <w:sectPr w:rsidR="008239A8" w:rsidRPr="0070398F" w:rsidSect="0025509A">
      <w:headerReference w:type="default" r:id="rId8"/>
      <w:footerReference w:type="default" r:id="rId9"/>
      <w:pgSz w:w="11907" w:h="16840" w:code="9"/>
      <w:pgMar w:top="1134" w:right="992" w:bottom="1021" w:left="1559" w:header="964" w:footer="73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7CF0" w:rsidRDefault="000D7CF0" w:rsidP="00DB2AF7">
      <w:r>
        <w:separator/>
      </w:r>
    </w:p>
  </w:endnote>
  <w:endnote w:type="continuationSeparator" w:id="0">
    <w:p w:rsidR="000D7CF0" w:rsidRDefault="000D7CF0" w:rsidP="00DB2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2162284"/>
      <w:docPartObj>
        <w:docPartGallery w:val="Page Numbers (Bottom of Page)"/>
        <w:docPartUnique/>
      </w:docPartObj>
    </w:sdtPr>
    <w:sdtEndPr/>
    <w:sdtContent>
      <w:p w:rsidR="00416917" w:rsidRDefault="00416917">
        <w:pPr>
          <w:pStyle w:val="ac"/>
          <w:jc w:val="right"/>
        </w:pPr>
        <w:r>
          <w:fldChar w:fldCharType="begin"/>
        </w:r>
        <w:r>
          <w:instrText>PAGE   \* MERGEFORMAT</w:instrText>
        </w:r>
        <w:r>
          <w:fldChar w:fldCharType="separate"/>
        </w:r>
        <w:r w:rsidRPr="0065611B">
          <w:rPr>
            <w:noProof/>
            <w:lang w:val="ru-RU"/>
          </w:rPr>
          <w:t>23</w:t>
        </w:r>
        <w:r>
          <w:fldChar w:fldCharType="end"/>
        </w:r>
      </w:p>
    </w:sdtContent>
  </w:sdt>
  <w:p w:rsidR="00416917" w:rsidRDefault="0041691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7CF0" w:rsidRDefault="000D7CF0" w:rsidP="00DB2AF7">
      <w:r>
        <w:separator/>
      </w:r>
    </w:p>
  </w:footnote>
  <w:footnote w:type="continuationSeparator" w:id="0">
    <w:p w:rsidR="000D7CF0" w:rsidRDefault="000D7CF0" w:rsidP="00DB2A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3334" w:type="pct"/>
      <w:tblCellMar>
        <w:left w:w="0" w:type="dxa"/>
        <w:right w:w="0" w:type="dxa"/>
      </w:tblCellMar>
      <w:tblLook w:val="04A0" w:firstRow="1" w:lastRow="0" w:firstColumn="1" w:lastColumn="0" w:noHBand="0" w:noVBand="1"/>
    </w:tblPr>
    <w:tblGrid>
      <w:gridCol w:w="3119"/>
      <w:gridCol w:w="3120"/>
    </w:tblGrid>
    <w:tr w:rsidR="00416917" w:rsidTr="00F36F39">
      <w:trPr>
        <w:trHeight w:val="284"/>
      </w:trPr>
      <w:tc>
        <w:tcPr>
          <w:tcW w:w="2500" w:type="pct"/>
        </w:tcPr>
        <w:p w:rsidR="00416917" w:rsidRDefault="00416917">
          <w:pPr>
            <w:pStyle w:val="aa"/>
            <w:rPr>
              <w:color w:val="4F81BD" w:themeColor="accent1"/>
            </w:rPr>
          </w:pPr>
        </w:p>
      </w:tc>
      <w:tc>
        <w:tcPr>
          <w:tcW w:w="2500" w:type="pct"/>
        </w:tcPr>
        <w:p w:rsidR="00416917" w:rsidRDefault="00416917">
          <w:pPr>
            <w:pStyle w:val="aa"/>
            <w:jc w:val="center"/>
            <w:rPr>
              <w:color w:val="4F81BD" w:themeColor="accent1"/>
            </w:rPr>
          </w:pPr>
        </w:p>
      </w:tc>
    </w:tr>
  </w:tbl>
  <w:p w:rsidR="00416917" w:rsidRDefault="00416917">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1264CE"/>
    <w:multiLevelType w:val="hybridMultilevel"/>
    <w:tmpl w:val="8A8236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8990E25"/>
    <w:multiLevelType w:val="hybridMultilevel"/>
    <w:tmpl w:val="5CC8E628"/>
    <w:lvl w:ilvl="0" w:tplc="E6A26DF8">
      <w:start w:val="1"/>
      <w:numFmt w:val="lowerLetter"/>
      <w:lvlText w:val="(%1)"/>
      <w:lvlJc w:val="left"/>
      <w:pPr>
        <w:ind w:left="1142" w:hanging="360"/>
      </w:pPr>
      <w:rPr>
        <w:rFonts w:hint="default"/>
      </w:rPr>
    </w:lvl>
    <w:lvl w:ilvl="1" w:tplc="04190019" w:tentative="1">
      <w:start w:val="1"/>
      <w:numFmt w:val="lowerLetter"/>
      <w:lvlText w:val="%2."/>
      <w:lvlJc w:val="left"/>
      <w:pPr>
        <w:ind w:left="1862" w:hanging="360"/>
      </w:pPr>
    </w:lvl>
    <w:lvl w:ilvl="2" w:tplc="0419001B" w:tentative="1">
      <w:start w:val="1"/>
      <w:numFmt w:val="lowerRoman"/>
      <w:lvlText w:val="%3."/>
      <w:lvlJc w:val="right"/>
      <w:pPr>
        <w:ind w:left="2582" w:hanging="180"/>
      </w:pPr>
    </w:lvl>
    <w:lvl w:ilvl="3" w:tplc="0419000F" w:tentative="1">
      <w:start w:val="1"/>
      <w:numFmt w:val="decimal"/>
      <w:lvlText w:val="%4."/>
      <w:lvlJc w:val="left"/>
      <w:pPr>
        <w:ind w:left="3302" w:hanging="360"/>
      </w:pPr>
    </w:lvl>
    <w:lvl w:ilvl="4" w:tplc="04190019" w:tentative="1">
      <w:start w:val="1"/>
      <w:numFmt w:val="lowerLetter"/>
      <w:lvlText w:val="%5."/>
      <w:lvlJc w:val="left"/>
      <w:pPr>
        <w:ind w:left="4022" w:hanging="360"/>
      </w:pPr>
    </w:lvl>
    <w:lvl w:ilvl="5" w:tplc="0419001B" w:tentative="1">
      <w:start w:val="1"/>
      <w:numFmt w:val="lowerRoman"/>
      <w:lvlText w:val="%6."/>
      <w:lvlJc w:val="right"/>
      <w:pPr>
        <w:ind w:left="4742" w:hanging="180"/>
      </w:pPr>
    </w:lvl>
    <w:lvl w:ilvl="6" w:tplc="0419000F" w:tentative="1">
      <w:start w:val="1"/>
      <w:numFmt w:val="decimal"/>
      <w:lvlText w:val="%7."/>
      <w:lvlJc w:val="left"/>
      <w:pPr>
        <w:ind w:left="5462" w:hanging="360"/>
      </w:pPr>
    </w:lvl>
    <w:lvl w:ilvl="7" w:tplc="04190019" w:tentative="1">
      <w:start w:val="1"/>
      <w:numFmt w:val="lowerLetter"/>
      <w:lvlText w:val="%8."/>
      <w:lvlJc w:val="left"/>
      <w:pPr>
        <w:ind w:left="6182" w:hanging="360"/>
      </w:pPr>
    </w:lvl>
    <w:lvl w:ilvl="8" w:tplc="0419001B" w:tentative="1">
      <w:start w:val="1"/>
      <w:numFmt w:val="lowerRoman"/>
      <w:lvlText w:val="%9."/>
      <w:lvlJc w:val="right"/>
      <w:pPr>
        <w:ind w:left="6902" w:hanging="180"/>
      </w:pPr>
    </w:lvl>
  </w:abstractNum>
  <w:abstractNum w:abstractNumId="2" w15:restartNumberingAfterBreak="0">
    <w:nsid w:val="66853A6A"/>
    <w:multiLevelType w:val="hybridMultilevel"/>
    <w:tmpl w:val="7EF6026C"/>
    <w:lvl w:ilvl="0" w:tplc="B858980C">
      <w:start w:val="1"/>
      <w:numFmt w:val="lowerLetter"/>
      <w:lvlText w:val="(%1)"/>
      <w:lvlJc w:val="left"/>
      <w:pPr>
        <w:ind w:left="1142" w:hanging="360"/>
      </w:pPr>
      <w:rPr>
        <w:rFonts w:hint="default"/>
      </w:rPr>
    </w:lvl>
    <w:lvl w:ilvl="1" w:tplc="04190019" w:tentative="1">
      <w:start w:val="1"/>
      <w:numFmt w:val="lowerLetter"/>
      <w:lvlText w:val="%2."/>
      <w:lvlJc w:val="left"/>
      <w:pPr>
        <w:ind w:left="1862" w:hanging="360"/>
      </w:pPr>
    </w:lvl>
    <w:lvl w:ilvl="2" w:tplc="0419001B" w:tentative="1">
      <w:start w:val="1"/>
      <w:numFmt w:val="lowerRoman"/>
      <w:lvlText w:val="%3."/>
      <w:lvlJc w:val="right"/>
      <w:pPr>
        <w:ind w:left="2582" w:hanging="180"/>
      </w:pPr>
    </w:lvl>
    <w:lvl w:ilvl="3" w:tplc="0419000F" w:tentative="1">
      <w:start w:val="1"/>
      <w:numFmt w:val="decimal"/>
      <w:lvlText w:val="%4."/>
      <w:lvlJc w:val="left"/>
      <w:pPr>
        <w:ind w:left="3302" w:hanging="360"/>
      </w:pPr>
    </w:lvl>
    <w:lvl w:ilvl="4" w:tplc="04190019" w:tentative="1">
      <w:start w:val="1"/>
      <w:numFmt w:val="lowerLetter"/>
      <w:lvlText w:val="%5."/>
      <w:lvlJc w:val="left"/>
      <w:pPr>
        <w:ind w:left="4022" w:hanging="360"/>
      </w:pPr>
    </w:lvl>
    <w:lvl w:ilvl="5" w:tplc="0419001B" w:tentative="1">
      <w:start w:val="1"/>
      <w:numFmt w:val="lowerRoman"/>
      <w:lvlText w:val="%6."/>
      <w:lvlJc w:val="right"/>
      <w:pPr>
        <w:ind w:left="4742" w:hanging="180"/>
      </w:pPr>
    </w:lvl>
    <w:lvl w:ilvl="6" w:tplc="0419000F" w:tentative="1">
      <w:start w:val="1"/>
      <w:numFmt w:val="decimal"/>
      <w:lvlText w:val="%7."/>
      <w:lvlJc w:val="left"/>
      <w:pPr>
        <w:ind w:left="5462" w:hanging="360"/>
      </w:pPr>
    </w:lvl>
    <w:lvl w:ilvl="7" w:tplc="04190019" w:tentative="1">
      <w:start w:val="1"/>
      <w:numFmt w:val="lowerLetter"/>
      <w:lvlText w:val="%8."/>
      <w:lvlJc w:val="left"/>
      <w:pPr>
        <w:ind w:left="6182" w:hanging="360"/>
      </w:pPr>
    </w:lvl>
    <w:lvl w:ilvl="8" w:tplc="0419001B" w:tentative="1">
      <w:start w:val="1"/>
      <w:numFmt w:val="lowerRoman"/>
      <w:lvlText w:val="%9."/>
      <w:lvlJc w:val="right"/>
      <w:pPr>
        <w:ind w:left="6902"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959"/>
    <w:rsid w:val="00005B07"/>
    <w:rsid w:val="00013388"/>
    <w:rsid w:val="000219B9"/>
    <w:rsid w:val="00022698"/>
    <w:rsid w:val="0002779B"/>
    <w:rsid w:val="00032D91"/>
    <w:rsid w:val="00033E22"/>
    <w:rsid w:val="00041511"/>
    <w:rsid w:val="00041A09"/>
    <w:rsid w:val="00044BA5"/>
    <w:rsid w:val="00045406"/>
    <w:rsid w:val="00050FD6"/>
    <w:rsid w:val="00054170"/>
    <w:rsid w:val="000553DA"/>
    <w:rsid w:val="00062B26"/>
    <w:rsid w:val="000705C2"/>
    <w:rsid w:val="00070A6D"/>
    <w:rsid w:val="00082629"/>
    <w:rsid w:val="0009675A"/>
    <w:rsid w:val="000A1503"/>
    <w:rsid w:val="000A79FE"/>
    <w:rsid w:val="000B0DF3"/>
    <w:rsid w:val="000B3A40"/>
    <w:rsid w:val="000B6592"/>
    <w:rsid w:val="000D7CF0"/>
    <w:rsid w:val="000E1AFE"/>
    <w:rsid w:val="000E216A"/>
    <w:rsid w:val="000F3934"/>
    <w:rsid w:val="000F7D09"/>
    <w:rsid w:val="0010374E"/>
    <w:rsid w:val="00103FD0"/>
    <w:rsid w:val="00107A86"/>
    <w:rsid w:val="00113C5F"/>
    <w:rsid w:val="001151DB"/>
    <w:rsid w:val="00117B2C"/>
    <w:rsid w:val="001211FB"/>
    <w:rsid w:val="00123821"/>
    <w:rsid w:val="00127D2C"/>
    <w:rsid w:val="00141D82"/>
    <w:rsid w:val="00143C01"/>
    <w:rsid w:val="0014676F"/>
    <w:rsid w:val="00151FFB"/>
    <w:rsid w:val="001553C8"/>
    <w:rsid w:val="00166443"/>
    <w:rsid w:val="001769E7"/>
    <w:rsid w:val="00183E1A"/>
    <w:rsid w:val="00197DC4"/>
    <w:rsid w:val="001A1C9C"/>
    <w:rsid w:val="001A1EB7"/>
    <w:rsid w:val="001A54C3"/>
    <w:rsid w:val="001A5A07"/>
    <w:rsid w:val="001A5AAE"/>
    <w:rsid w:val="001A65BB"/>
    <w:rsid w:val="001A6D77"/>
    <w:rsid w:val="001B0445"/>
    <w:rsid w:val="001B395C"/>
    <w:rsid w:val="001B51AD"/>
    <w:rsid w:val="001C00A0"/>
    <w:rsid w:val="001C1BAC"/>
    <w:rsid w:val="001C3A33"/>
    <w:rsid w:val="001C3F93"/>
    <w:rsid w:val="001C5627"/>
    <w:rsid w:val="001C6724"/>
    <w:rsid w:val="001C6733"/>
    <w:rsid w:val="001D5356"/>
    <w:rsid w:val="001D63F5"/>
    <w:rsid w:val="001E0BF0"/>
    <w:rsid w:val="001E311D"/>
    <w:rsid w:val="001E37ED"/>
    <w:rsid w:val="001E3E2D"/>
    <w:rsid w:val="001E4D8F"/>
    <w:rsid w:val="001E644B"/>
    <w:rsid w:val="001E67C9"/>
    <w:rsid w:val="002005F7"/>
    <w:rsid w:val="002038F9"/>
    <w:rsid w:val="00211283"/>
    <w:rsid w:val="00214362"/>
    <w:rsid w:val="00215AAA"/>
    <w:rsid w:val="00221CE4"/>
    <w:rsid w:val="0022279D"/>
    <w:rsid w:val="00226505"/>
    <w:rsid w:val="00226DF0"/>
    <w:rsid w:val="00230FFB"/>
    <w:rsid w:val="00232554"/>
    <w:rsid w:val="00234135"/>
    <w:rsid w:val="002347DC"/>
    <w:rsid w:val="00235EC8"/>
    <w:rsid w:val="00237D0C"/>
    <w:rsid w:val="0025509A"/>
    <w:rsid w:val="002551EE"/>
    <w:rsid w:val="002574DE"/>
    <w:rsid w:val="00262797"/>
    <w:rsid w:val="00262C0D"/>
    <w:rsid w:val="00263B0B"/>
    <w:rsid w:val="002675CF"/>
    <w:rsid w:val="00277F9B"/>
    <w:rsid w:val="00281E5C"/>
    <w:rsid w:val="002906C8"/>
    <w:rsid w:val="00296FC3"/>
    <w:rsid w:val="002A1678"/>
    <w:rsid w:val="002B1911"/>
    <w:rsid w:val="002B3159"/>
    <w:rsid w:val="002B6185"/>
    <w:rsid w:val="002C5E59"/>
    <w:rsid w:val="002D2C57"/>
    <w:rsid w:val="002E611F"/>
    <w:rsid w:val="002E69D0"/>
    <w:rsid w:val="003067F0"/>
    <w:rsid w:val="00307D32"/>
    <w:rsid w:val="00311D88"/>
    <w:rsid w:val="0031748F"/>
    <w:rsid w:val="00317703"/>
    <w:rsid w:val="00325294"/>
    <w:rsid w:val="00326605"/>
    <w:rsid w:val="00327E0C"/>
    <w:rsid w:val="00330A36"/>
    <w:rsid w:val="00332191"/>
    <w:rsid w:val="003340F3"/>
    <w:rsid w:val="003539DE"/>
    <w:rsid w:val="003544CA"/>
    <w:rsid w:val="003564B0"/>
    <w:rsid w:val="00360DE8"/>
    <w:rsid w:val="00361E11"/>
    <w:rsid w:val="003656A1"/>
    <w:rsid w:val="00366FD0"/>
    <w:rsid w:val="00372214"/>
    <w:rsid w:val="003742A7"/>
    <w:rsid w:val="00377D79"/>
    <w:rsid w:val="003821AF"/>
    <w:rsid w:val="00386919"/>
    <w:rsid w:val="00390C58"/>
    <w:rsid w:val="003A40FA"/>
    <w:rsid w:val="003A5D9E"/>
    <w:rsid w:val="003A7CF9"/>
    <w:rsid w:val="003B0CA9"/>
    <w:rsid w:val="003B313D"/>
    <w:rsid w:val="003B4DCE"/>
    <w:rsid w:val="003B6384"/>
    <w:rsid w:val="003B74A1"/>
    <w:rsid w:val="003C1649"/>
    <w:rsid w:val="003C3210"/>
    <w:rsid w:val="003C3970"/>
    <w:rsid w:val="003C539C"/>
    <w:rsid w:val="003D0A71"/>
    <w:rsid w:val="003D48CB"/>
    <w:rsid w:val="003D63DD"/>
    <w:rsid w:val="003E01C8"/>
    <w:rsid w:val="003E0A4B"/>
    <w:rsid w:val="003E10D7"/>
    <w:rsid w:val="003E26EC"/>
    <w:rsid w:val="003F1105"/>
    <w:rsid w:val="003F713F"/>
    <w:rsid w:val="00404703"/>
    <w:rsid w:val="00404D93"/>
    <w:rsid w:val="00405694"/>
    <w:rsid w:val="004107A3"/>
    <w:rsid w:val="004145B2"/>
    <w:rsid w:val="00416917"/>
    <w:rsid w:val="004170D6"/>
    <w:rsid w:val="004240B5"/>
    <w:rsid w:val="0043009F"/>
    <w:rsid w:val="004353F4"/>
    <w:rsid w:val="00437211"/>
    <w:rsid w:val="00441573"/>
    <w:rsid w:val="004444E3"/>
    <w:rsid w:val="004460C9"/>
    <w:rsid w:val="00446F28"/>
    <w:rsid w:val="00447C13"/>
    <w:rsid w:val="00450EBE"/>
    <w:rsid w:val="00450EC2"/>
    <w:rsid w:val="00452F77"/>
    <w:rsid w:val="0046449D"/>
    <w:rsid w:val="00466BE6"/>
    <w:rsid w:val="00466D8C"/>
    <w:rsid w:val="00470291"/>
    <w:rsid w:val="00473B08"/>
    <w:rsid w:val="004776B0"/>
    <w:rsid w:val="00477A6E"/>
    <w:rsid w:val="00484576"/>
    <w:rsid w:val="00487815"/>
    <w:rsid w:val="004904E1"/>
    <w:rsid w:val="0049102C"/>
    <w:rsid w:val="00496E44"/>
    <w:rsid w:val="004A488A"/>
    <w:rsid w:val="004A4A40"/>
    <w:rsid w:val="004A612E"/>
    <w:rsid w:val="004A63A2"/>
    <w:rsid w:val="004A7ECC"/>
    <w:rsid w:val="004B331A"/>
    <w:rsid w:val="004B3B3E"/>
    <w:rsid w:val="004B3EDA"/>
    <w:rsid w:val="004B50E6"/>
    <w:rsid w:val="004B59FF"/>
    <w:rsid w:val="004B63E5"/>
    <w:rsid w:val="004B7F35"/>
    <w:rsid w:val="004D1803"/>
    <w:rsid w:val="004D5D1F"/>
    <w:rsid w:val="004D6152"/>
    <w:rsid w:val="004D62DB"/>
    <w:rsid w:val="004D65AB"/>
    <w:rsid w:val="004D7CC5"/>
    <w:rsid w:val="004D7EA7"/>
    <w:rsid w:val="004E4C72"/>
    <w:rsid w:val="004E4CB7"/>
    <w:rsid w:val="004E739A"/>
    <w:rsid w:val="004F1EB8"/>
    <w:rsid w:val="004F24CC"/>
    <w:rsid w:val="00501398"/>
    <w:rsid w:val="00503E11"/>
    <w:rsid w:val="00504BD5"/>
    <w:rsid w:val="0051353B"/>
    <w:rsid w:val="0051756D"/>
    <w:rsid w:val="00520503"/>
    <w:rsid w:val="00524128"/>
    <w:rsid w:val="005273D8"/>
    <w:rsid w:val="005273FE"/>
    <w:rsid w:val="005276A7"/>
    <w:rsid w:val="00530E33"/>
    <w:rsid w:val="0053415F"/>
    <w:rsid w:val="0053668F"/>
    <w:rsid w:val="00546D54"/>
    <w:rsid w:val="00551BFF"/>
    <w:rsid w:val="005634B9"/>
    <w:rsid w:val="00573C77"/>
    <w:rsid w:val="00576B45"/>
    <w:rsid w:val="00576DBB"/>
    <w:rsid w:val="00576F6F"/>
    <w:rsid w:val="0058085B"/>
    <w:rsid w:val="0058590D"/>
    <w:rsid w:val="00585ACC"/>
    <w:rsid w:val="00586ACB"/>
    <w:rsid w:val="005927E9"/>
    <w:rsid w:val="00596BEB"/>
    <w:rsid w:val="005A71CB"/>
    <w:rsid w:val="005B2511"/>
    <w:rsid w:val="005B44CD"/>
    <w:rsid w:val="005B6DAB"/>
    <w:rsid w:val="005C1F0A"/>
    <w:rsid w:val="005D2C9E"/>
    <w:rsid w:val="005E5DAA"/>
    <w:rsid w:val="005F11FC"/>
    <w:rsid w:val="005F3159"/>
    <w:rsid w:val="005F79BE"/>
    <w:rsid w:val="00602A63"/>
    <w:rsid w:val="00606FD2"/>
    <w:rsid w:val="00615440"/>
    <w:rsid w:val="006212DE"/>
    <w:rsid w:val="00623F67"/>
    <w:rsid w:val="0062434E"/>
    <w:rsid w:val="00625225"/>
    <w:rsid w:val="00631BC8"/>
    <w:rsid w:val="00632611"/>
    <w:rsid w:val="00633444"/>
    <w:rsid w:val="00634C7A"/>
    <w:rsid w:val="00635ABE"/>
    <w:rsid w:val="0064128E"/>
    <w:rsid w:val="00646817"/>
    <w:rsid w:val="006527E0"/>
    <w:rsid w:val="0065611B"/>
    <w:rsid w:val="00664CA3"/>
    <w:rsid w:val="00675959"/>
    <w:rsid w:val="00677085"/>
    <w:rsid w:val="006868A7"/>
    <w:rsid w:val="00687DDB"/>
    <w:rsid w:val="006A2969"/>
    <w:rsid w:val="006B0EA0"/>
    <w:rsid w:val="006B3D04"/>
    <w:rsid w:val="006B413A"/>
    <w:rsid w:val="006B5DEF"/>
    <w:rsid w:val="006B63A8"/>
    <w:rsid w:val="006B6708"/>
    <w:rsid w:val="006C2CE1"/>
    <w:rsid w:val="006D49E2"/>
    <w:rsid w:val="006E0263"/>
    <w:rsid w:val="006E10B0"/>
    <w:rsid w:val="006E2C24"/>
    <w:rsid w:val="006F0EDA"/>
    <w:rsid w:val="006F3E7A"/>
    <w:rsid w:val="006F532B"/>
    <w:rsid w:val="006F596A"/>
    <w:rsid w:val="007016F0"/>
    <w:rsid w:val="0070398F"/>
    <w:rsid w:val="007117FA"/>
    <w:rsid w:val="007118B6"/>
    <w:rsid w:val="00713713"/>
    <w:rsid w:val="00714C41"/>
    <w:rsid w:val="0072340E"/>
    <w:rsid w:val="007300E6"/>
    <w:rsid w:val="00730BB8"/>
    <w:rsid w:val="00733879"/>
    <w:rsid w:val="00740631"/>
    <w:rsid w:val="00741602"/>
    <w:rsid w:val="00743CDB"/>
    <w:rsid w:val="00750B6C"/>
    <w:rsid w:val="007525FF"/>
    <w:rsid w:val="00754284"/>
    <w:rsid w:val="00756DC8"/>
    <w:rsid w:val="00757C27"/>
    <w:rsid w:val="00757FB5"/>
    <w:rsid w:val="007637E9"/>
    <w:rsid w:val="007649A4"/>
    <w:rsid w:val="007667BF"/>
    <w:rsid w:val="00770088"/>
    <w:rsid w:val="0077174C"/>
    <w:rsid w:val="00776847"/>
    <w:rsid w:val="00777122"/>
    <w:rsid w:val="0078400E"/>
    <w:rsid w:val="00785BF0"/>
    <w:rsid w:val="00790E74"/>
    <w:rsid w:val="007934AF"/>
    <w:rsid w:val="00793D1F"/>
    <w:rsid w:val="007A2384"/>
    <w:rsid w:val="007A2EC1"/>
    <w:rsid w:val="007A54AB"/>
    <w:rsid w:val="007B1819"/>
    <w:rsid w:val="007C45D3"/>
    <w:rsid w:val="007C50D1"/>
    <w:rsid w:val="007C5725"/>
    <w:rsid w:val="007D5DA1"/>
    <w:rsid w:val="007D73B8"/>
    <w:rsid w:val="007E18CF"/>
    <w:rsid w:val="007E50B3"/>
    <w:rsid w:val="007F0039"/>
    <w:rsid w:val="007F5F73"/>
    <w:rsid w:val="007F648B"/>
    <w:rsid w:val="00802A5E"/>
    <w:rsid w:val="00804C40"/>
    <w:rsid w:val="00811B64"/>
    <w:rsid w:val="00813545"/>
    <w:rsid w:val="00815533"/>
    <w:rsid w:val="00817227"/>
    <w:rsid w:val="008239A8"/>
    <w:rsid w:val="00827BD8"/>
    <w:rsid w:val="00830953"/>
    <w:rsid w:val="0083152D"/>
    <w:rsid w:val="00832299"/>
    <w:rsid w:val="0083662C"/>
    <w:rsid w:val="008369A5"/>
    <w:rsid w:val="00842BDF"/>
    <w:rsid w:val="00844455"/>
    <w:rsid w:val="008519BF"/>
    <w:rsid w:val="00865BC6"/>
    <w:rsid w:val="00867ABE"/>
    <w:rsid w:val="0087214F"/>
    <w:rsid w:val="008748A0"/>
    <w:rsid w:val="00875877"/>
    <w:rsid w:val="00876658"/>
    <w:rsid w:val="00876C52"/>
    <w:rsid w:val="00877F5E"/>
    <w:rsid w:val="00877FC7"/>
    <w:rsid w:val="0088240A"/>
    <w:rsid w:val="008846D8"/>
    <w:rsid w:val="0089150A"/>
    <w:rsid w:val="00891A5B"/>
    <w:rsid w:val="00894E64"/>
    <w:rsid w:val="008965DB"/>
    <w:rsid w:val="008A037E"/>
    <w:rsid w:val="008A378E"/>
    <w:rsid w:val="008A6BF3"/>
    <w:rsid w:val="008B2141"/>
    <w:rsid w:val="008B3A91"/>
    <w:rsid w:val="008B536B"/>
    <w:rsid w:val="008C4052"/>
    <w:rsid w:val="008C767C"/>
    <w:rsid w:val="008D3744"/>
    <w:rsid w:val="008D3FF5"/>
    <w:rsid w:val="008D699C"/>
    <w:rsid w:val="008E104F"/>
    <w:rsid w:val="008E1BEE"/>
    <w:rsid w:val="008E1F36"/>
    <w:rsid w:val="008E3A9C"/>
    <w:rsid w:val="008E5B60"/>
    <w:rsid w:val="008F0444"/>
    <w:rsid w:val="008F1817"/>
    <w:rsid w:val="009030D4"/>
    <w:rsid w:val="0090474C"/>
    <w:rsid w:val="00905CC4"/>
    <w:rsid w:val="00912B8E"/>
    <w:rsid w:val="00915CA6"/>
    <w:rsid w:val="00915F49"/>
    <w:rsid w:val="00920396"/>
    <w:rsid w:val="009251CE"/>
    <w:rsid w:val="00926C13"/>
    <w:rsid w:val="009273D6"/>
    <w:rsid w:val="0094079C"/>
    <w:rsid w:val="00944169"/>
    <w:rsid w:val="00944FF8"/>
    <w:rsid w:val="009476D5"/>
    <w:rsid w:val="009559B7"/>
    <w:rsid w:val="00956352"/>
    <w:rsid w:val="0096431E"/>
    <w:rsid w:val="00970055"/>
    <w:rsid w:val="00976A27"/>
    <w:rsid w:val="00985AB7"/>
    <w:rsid w:val="0099050A"/>
    <w:rsid w:val="009912F0"/>
    <w:rsid w:val="0099189C"/>
    <w:rsid w:val="00991AC9"/>
    <w:rsid w:val="00992962"/>
    <w:rsid w:val="009932C2"/>
    <w:rsid w:val="009A2894"/>
    <w:rsid w:val="009A2949"/>
    <w:rsid w:val="009A2FD3"/>
    <w:rsid w:val="009B1870"/>
    <w:rsid w:val="009B25C5"/>
    <w:rsid w:val="009B5E69"/>
    <w:rsid w:val="009B7789"/>
    <w:rsid w:val="009C33C1"/>
    <w:rsid w:val="009D0BD6"/>
    <w:rsid w:val="009D1825"/>
    <w:rsid w:val="009D3516"/>
    <w:rsid w:val="009D5D84"/>
    <w:rsid w:val="009E09DB"/>
    <w:rsid w:val="009E526A"/>
    <w:rsid w:val="009E5AC2"/>
    <w:rsid w:val="009E5B41"/>
    <w:rsid w:val="009F5EA0"/>
    <w:rsid w:val="00A001BC"/>
    <w:rsid w:val="00A046D4"/>
    <w:rsid w:val="00A14D2C"/>
    <w:rsid w:val="00A15F53"/>
    <w:rsid w:val="00A17848"/>
    <w:rsid w:val="00A2579A"/>
    <w:rsid w:val="00A26548"/>
    <w:rsid w:val="00A26CF1"/>
    <w:rsid w:val="00A30359"/>
    <w:rsid w:val="00A437D3"/>
    <w:rsid w:val="00A51D0A"/>
    <w:rsid w:val="00A56707"/>
    <w:rsid w:val="00A650FF"/>
    <w:rsid w:val="00A676AB"/>
    <w:rsid w:val="00A71955"/>
    <w:rsid w:val="00A73D35"/>
    <w:rsid w:val="00A7569F"/>
    <w:rsid w:val="00A75E6E"/>
    <w:rsid w:val="00A76D98"/>
    <w:rsid w:val="00A8183A"/>
    <w:rsid w:val="00A8265F"/>
    <w:rsid w:val="00A8301E"/>
    <w:rsid w:val="00A85B59"/>
    <w:rsid w:val="00A8695B"/>
    <w:rsid w:val="00A86DD2"/>
    <w:rsid w:val="00A87A5A"/>
    <w:rsid w:val="00A9009E"/>
    <w:rsid w:val="00A913F8"/>
    <w:rsid w:val="00A94ABD"/>
    <w:rsid w:val="00A97973"/>
    <w:rsid w:val="00AA0E4D"/>
    <w:rsid w:val="00AA33C5"/>
    <w:rsid w:val="00AB6D4E"/>
    <w:rsid w:val="00AB7932"/>
    <w:rsid w:val="00AC4396"/>
    <w:rsid w:val="00AC7A4E"/>
    <w:rsid w:val="00AD261C"/>
    <w:rsid w:val="00AD3E00"/>
    <w:rsid w:val="00AE1B77"/>
    <w:rsid w:val="00AE39E0"/>
    <w:rsid w:val="00AE4567"/>
    <w:rsid w:val="00AE5234"/>
    <w:rsid w:val="00AF1A4B"/>
    <w:rsid w:val="00B0568A"/>
    <w:rsid w:val="00B12730"/>
    <w:rsid w:val="00B12F17"/>
    <w:rsid w:val="00B16F88"/>
    <w:rsid w:val="00B204B0"/>
    <w:rsid w:val="00B22544"/>
    <w:rsid w:val="00B22A29"/>
    <w:rsid w:val="00B24922"/>
    <w:rsid w:val="00B24FF3"/>
    <w:rsid w:val="00B25056"/>
    <w:rsid w:val="00B26BEF"/>
    <w:rsid w:val="00B31644"/>
    <w:rsid w:val="00B4165B"/>
    <w:rsid w:val="00B432E0"/>
    <w:rsid w:val="00B469A5"/>
    <w:rsid w:val="00B57BA2"/>
    <w:rsid w:val="00B67B32"/>
    <w:rsid w:val="00B71BB9"/>
    <w:rsid w:val="00B7241C"/>
    <w:rsid w:val="00B77556"/>
    <w:rsid w:val="00B8446D"/>
    <w:rsid w:val="00B84B41"/>
    <w:rsid w:val="00B857BA"/>
    <w:rsid w:val="00B9018D"/>
    <w:rsid w:val="00B92BFF"/>
    <w:rsid w:val="00BA04AF"/>
    <w:rsid w:val="00BA71C7"/>
    <w:rsid w:val="00BB2C10"/>
    <w:rsid w:val="00BC10D7"/>
    <w:rsid w:val="00BD4442"/>
    <w:rsid w:val="00BD48A9"/>
    <w:rsid w:val="00BD7C0F"/>
    <w:rsid w:val="00BE300D"/>
    <w:rsid w:val="00BF03B2"/>
    <w:rsid w:val="00BF5AF1"/>
    <w:rsid w:val="00BF6041"/>
    <w:rsid w:val="00C0153D"/>
    <w:rsid w:val="00C046C7"/>
    <w:rsid w:val="00C11B49"/>
    <w:rsid w:val="00C13141"/>
    <w:rsid w:val="00C145EA"/>
    <w:rsid w:val="00C158BE"/>
    <w:rsid w:val="00C161E1"/>
    <w:rsid w:val="00C22381"/>
    <w:rsid w:val="00C3058F"/>
    <w:rsid w:val="00C30611"/>
    <w:rsid w:val="00C32BD5"/>
    <w:rsid w:val="00C367B0"/>
    <w:rsid w:val="00C4070D"/>
    <w:rsid w:val="00C41477"/>
    <w:rsid w:val="00C416A9"/>
    <w:rsid w:val="00C41A01"/>
    <w:rsid w:val="00C479DF"/>
    <w:rsid w:val="00C52B0E"/>
    <w:rsid w:val="00C561F9"/>
    <w:rsid w:val="00C57A83"/>
    <w:rsid w:val="00C57F07"/>
    <w:rsid w:val="00C64020"/>
    <w:rsid w:val="00C67671"/>
    <w:rsid w:val="00C74846"/>
    <w:rsid w:val="00C85376"/>
    <w:rsid w:val="00C8737C"/>
    <w:rsid w:val="00C87E6C"/>
    <w:rsid w:val="00C91880"/>
    <w:rsid w:val="00C94261"/>
    <w:rsid w:val="00C97D7E"/>
    <w:rsid w:val="00CB0E9A"/>
    <w:rsid w:val="00CB1DCA"/>
    <w:rsid w:val="00CB4B38"/>
    <w:rsid w:val="00CD4303"/>
    <w:rsid w:val="00CD44DF"/>
    <w:rsid w:val="00CD5219"/>
    <w:rsid w:val="00CE29B7"/>
    <w:rsid w:val="00CE5DBB"/>
    <w:rsid w:val="00CF2009"/>
    <w:rsid w:val="00CF3D3F"/>
    <w:rsid w:val="00CF4F70"/>
    <w:rsid w:val="00CF5DCC"/>
    <w:rsid w:val="00D04528"/>
    <w:rsid w:val="00D13CD0"/>
    <w:rsid w:val="00D171C6"/>
    <w:rsid w:val="00D1747D"/>
    <w:rsid w:val="00D202EB"/>
    <w:rsid w:val="00D22BAF"/>
    <w:rsid w:val="00D2410C"/>
    <w:rsid w:val="00D34DB5"/>
    <w:rsid w:val="00D37E5A"/>
    <w:rsid w:val="00D41275"/>
    <w:rsid w:val="00D42762"/>
    <w:rsid w:val="00D4392E"/>
    <w:rsid w:val="00D4483F"/>
    <w:rsid w:val="00D4507B"/>
    <w:rsid w:val="00D45381"/>
    <w:rsid w:val="00D630A1"/>
    <w:rsid w:val="00D666B0"/>
    <w:rsid w:val="00D673D1"/>
    <w:rsid w:val="00D733EE"/>
    <w:rsid w:val="00D73C34"/>
    <w:rsid w:val="00D81157"/>
    <w:rsid w:val="00D869EA"/>
    <w:rsid w:val="00D90004"/>
    <w:rsid w:val="00D9494B"/>
    <w:rsid w:val="00DA115D"/>
    <w:rsid w:val="00DA17D6"/>
    <w:rsid w:val="00DA193E"/>
    <w:rsid w:val="00DA1AD4"/>
    <w:rsid w:val="00DA5250"/>
    <w:rsid w:val="00DA6669"/>
    <w:rsid w:val="00DB26E1"/>
    <w:rsid w:val="00DB2AF7"/>
    <w:rsid w:val="00DB3560"/>
    <w:rsid w:val="00DB513A"/>
    <w:rsid w:val="00DC1F8D"/>
    <w:rsid w:val="00DC2490"/>
    <w:rsid w:val="00DC629A"/>
    <w:rsid w:val="00DD36A2"/>
    <w:rsid w:val="00DE141C"/>
    <w:rsid w:val="00DE4028"/>
    <w:rsid w:val="00DE6E87"/>
    <w:rsid w:val="00DF04D9"/>
    <w:rsid w:val="00DF1CDA"/>
    <w:rsid w:val="00DF5D6C"/>
    <w:rsid w:val="00E01EEF"/>
    <w:rsid w:val="00E07C43"/>
    <w:rsid w:val="00E100A5"/>
    <w:rsid w:val="00E10B4B"/>
    <w:rsid w:val="00E13D1E"/>
    <w:rsid w:val="00E21888"/>
    <w:rsid w:val="00E255D0"/>
    <w:rsid w:val="00E327D4"/>
    <w:rsid w:val="00E36A1C"/>
    <w:rsid w:val="00E461FA"/>
    <w:rsid w:val="00E46669"/>
    <w:rsid w:val="00E61971"/>
    <w:rsid w:val="00E6629E"/>
    <w:rsid w:val="00E725E6"/>
    <w:rsid w:val="00E72EE6"/>
    <w:rsid w:val="00E74590"/>
    <w:rsid w:val="00E8347E"/>
    <w:rsid w:val="00E83683"/>
    <w:rsid w:val="00E9715D"/>
    <w:rsid w:val="00EB13B8"/>
    <w:rsid w:val="00EB3DF9"/>
    <w:rsid w:val="00EB4014"/>
    <w:rsid w:val="00EC07CC"/>
    <w:rsid w:val="00EC3B82"/>
    <w:rsid w:val="00EC474E"/>
    <w:rsid w:val="00EC70CC"/>
    <w:rsid w:val="00ED0137"/>
    <w:rsid w:val="00ED271C"/>
    <w:rsid w:val="00ED6606"/>
    <w:rsid w:val="00ED7749"/>
    <w:rsid w:val="00ED7CB8"/>
    <w:rsid w:val="00EF253B"/>
    <w:rsid w:val="00F0243B"/>
    <w:rsid w:val="00F042C7"/>
    <w:rsid w:val="00F05B70"/>
    <w:rsid w:val="00F07EE7"/>
    <w:rsid w:val="00F165FE"/>
    <w:rsid w:val="00F237EA"/>
    <w:rsid w:val="00F26293"/>
    <w:rsid w:val="00F314A1"/>
    <w:rsid w:val="00F32517"/>
    <w:rsid w:val="00F329BA"/>
    <w:rsid w:val="00F3304A"/>
    <w:rsid w:val="00F33149"/>
    <w:rsid w:val="00F33981"/>
    <w:rsid w:val="00F36F39"/>
    <w:rsid w:val="00F44AA6"/>
    <w:rsid w:val="00F512E9"/>
    <w:rsid w:val="00F5371D"/>
    <w:rsid w:val="00F61DA4"/>
    <w:rsid w:val="00F652CC"/>
    <w:rsid w:val="00F66D69"/>
    <w:rsid w:val="00F749F2"/>
    <w:rsid w:val="00F855FF"/>
    <w:rsid w:val="00F90F7D"/>
    <w:rsid w:val="00F92D27"/>
    <w:rsid w:val="00F93AC9"/>
    <w:rsid w:val="00F94151"/>
    <w:rsid w:val="00F952DA"/>
    <w:rsid w:val="00FA0A7E"/>
    <w:rsid w:val="00FA325D"/>
    <w:rsid w:val="00FA50A8"/>
    <w:rsid w:val="00FA6009"/>
    <w:rsid w:val="00FB3669"/>
    <w:rsid w:val="00FB74AD"/>
    <w:rsid w:val="00FC0E1D"/>
    <w:rsid w:val="00FC361D"/>
    <w:rsid w:val="00FD0338"/>
    <w:rsid w:val="00FD157B"/>
    <w:rsid w:val="00FF7E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1C159"/>
  <w15:docId w15:val="{4356C57B-F469-4939-9CC4-07E497441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6449D"/>
    <w:rPr>
      <w:sz w:val="24"/>
      <w:szCs w:val="24"/>
    </w:rPr>
  </w:style>
  <w:style w:type="paragraph" w:styleId="1">
    <w:name w:val="heading 1"/>
    <w:basedOn w:val="a"/>
    <w:next w:val="a"/>
    <w:link w:val="10"/>
    <w:qFormat/>
    <w:rsid w:val="0046449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595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F855F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6449D"/>
    <w:rPr>
      <w:rFonts w:asciiTheme="majorHAnsi" w:eastAsiaTheme="majorEastAsia" w:hAnsiTheme="majorHAnsi" w:cstheme="majorBidi"/>
      <w:b/>
      <w:bCs/>
      <w:color w:val="365F91" w:themeColor="accent1" w:themeShade="BF"/>
      <w:sz w:val="28"/>
      <w:szCs w:val="28"/>
    </w:rPr>
  </w:style>
  <w:style w:type="paragraph" w:styleId="a3">
    <w:name w:val="No Spacing"/>
    <w:link w:val="a4"/>
    <w:uiPriority w:val="1"/>
    <w:qFormat/>
    <w:rsid w:val="0046449D"/>
    <w:rPr>
      <w:rFonts w:asciiTheme="minorHAnsi" w:eastAsiaTheme="minorEastAsia" w:hAnsiTheme="minorHAnsi" w:cstheme="minorBidi"/>
      <w:sz w:val="22"/>
      <w:szCs w:val="22"/>
    </w:rPr>
  </w:style>
  <w:style w:type="character" w:customStyle="1" w:styleId="a4">
    <w:name w:val="Без интервала Знак"/>
    <w:basedOn w:val="a0"/>
    <w:link w:val="a3"/>
    <w:uiPriority w:val="1"/>
    <w:rsid w:val="0046449D"/>
    <w:rPr>
      <w:rFonts w:asciiTheme="minorHAnsi" w:eastAsiaTheme="minorEastAsia" w:hAnsiTheme="minorHAnsi" w:cstheme="minorBidi"/>
      <w:sz w:val="22"/>
      <w:szCs w:val="22"/>
    </w:rPr>
  </w:style>
  <w:style w:type="character" w:customStyle="1" w:styleId="20">
    <w:name w:val="Заголовок 2 Знак"/>
    <w:basedOn w:val="a0"/>
    <w:link w:val="2"/>
    <w:uiPriority w:val="9"/>
    <w:rsid w:val="00675959"/>
    <w:rPr>
      <w:rFonts w:asciiTheme="majorHAnsi" w:eastAsiaTheme="majorEastAsia" w:hAnsiTheme="majorHAnsi" w:cstheme="majorBidi"/>
      <w:b/>
      <w:bCs/>
      <w:color w:val="4F81BD" w:themeColor="accent1"/>
      <w:sz w:val="26"/>
      <w:szCs w:val="26"/>
    </w:rPr>
  </w:style>
  <w:style w:type="paragraph" w:styleId="a5">
    <w:name w:val="Balloon Text"/>
    <w:basedOn w:val="a"/>
    <w:link w:val="a6"/>
    <w:uiPriority w:val="99"/>
    <w:semiHidden/>
    <w:unhideWhenUsed/>
    <w:rsid w:val="00F0243B"/>
    <w:rPr>
      <w:rFonts w:ascii="Tahoma" w:hAnsi="Tahoma" w:cs="Tahoma"/>
      <w:sz w:val="16"/>
      <w:szCs w:val="16"/>
    </w:rPr>
  </w:style>
  <w:style w:type="character" w:customStyle="1" w:styleId="a6">
    <w:name w:val="Текст выноски Знак"/>
    <w:basedOn w:val="a0"/>
    <w:link w:val="a5"/>
    <w:uiPriority w:val="99"/>
    <w:semiHidden/>
    <w:rsid w:val="00F0243B"/>
    <w:rPr>
      <w:rFonts w:ascii="Tahoma" w:hAnsi="Tahoma" w:cs="Tahoma"/>
      <w:sz w:val="16"/>
      <w:szCs w:val="16"/>
    </w:rPr>
  </w:style>
  <w:style w:type="paragraph" w:customStyle="1" w:styleId="IASBNormal">
    <w:name w:val="IASB Normal"/>
    <w:rsid w:val="00DB2AF7"/>
    <w:pPr>
      <w:tabs>
        <w:tab w:val="left" w:pos="4253"/>
      </w:tabs>
      <w:spacing w:before="100" w:after="100"/>
      <w:jc w:val="both"/>
    </w:pPr>
    <w:rPr>
      <w:sz w:val="19"/>
      <w:lang w:val="en-US"/>
    </w:rPr>
  </w:style>
  <w:style w:type="paragraph" w:customStyle="1" w:styleId="IASBNormalnpara">
    <w:name w:val="IASB Normal npara"/>
    <w:basedOn w:val="IASBNormal"/>
    <w:rsid w:val="00DB2AF7"/>
    <w:pPr>
      <w:tabs>
        <w:tab w:val="clear" w:pos="4253"/>
      </w:tabs>
      <w:spacing w:after="0"/>
      <w:ind w:left="782" w:hanging="782"/>
    </w:pPr>
  </w:style>
  <w:style w:type="paragraph" w:customStyle="1" w:styleId="IASBSectionTitle1Ind">
    <w:name w:val="IASB Section Title 1 Ind"/>
    <w:basedOn w:val="a"/>
    <w:rsid w:val="00DB2AF7"/>
    <w:pPr>
      <w:keepNext/>
      <w:keepLines/>
      <w:pBdr>
        <w:bottom w:val="single" w:sz="4" w:space="0" w:color="auto"/>
      </w:pBdr>
      <w:spacing w:before="400" w:after="200"/>
      <w:ind w:left="782"/>
    </w:pPr>
    <w:rPr>
      <w:rFonts w:ascii="Arial" w:hAnsi="Arial" w:cs="Arial"/>
      <w:b/>
      <w:sz w:val="26"/>
      <w:szCs w:val="20"/>
      <w:lang w:val="en-US"/>
    </w:rPr>
  </w:style>
  <w:style w:type="paragraph" w:customStyle="1" w:styleId="IASBSectionTitle1NonInd">
    <w:name w:val="IASB Section Title 1 NonInd"/>
    <w:basedOn w:val="a"/>
    <w:rsid w:val="00DB2AF7"/>
    <w:pPr>
      <w:keepNext/>
      <w:keepLines/>
      <w:pBdr>
        <w:bottom w:val="single" w:sz="4" w:space="0" w:color="auto"/>
      </w:pBdr>
      <w:spacing w:before="400" w:after="200"/>
    </w:pPr>
    <w:rPr>
      <w:rFonts w:ascii="Arial" w:hAnsi="Arial" w:cs="Arial"/>
      <w:b/>
      <w:sz w:val="26"/>
      <w:szCs w:val="20"/>
      <w:lang w:val="en-US"/>
    </w:rPr>
  </w:style>
  <w:style w:type="paragraph" w:customStyle="1" w:styleId="IASBSectionTitle2NonInd">
    <w:name w:val="IASB Section Title 2 NonInd"/>
    <w:basedOn w:val="a"/>
    <w:rsid w:val="00DB2AF7"/>
    <w:pPr>
      <w:keepNext/>
      <w:keepLines/>
      <w:spacing w:before="300" w:after="200"/>
    </w:pPr>
    <w:rPr>
      <w:rFonts w:ascii="Arial" w:hAnsi="Arial" w:cs="Arial"/>
      <w:b/>
      <w:sz w:val="26"/>
      <w:szCs w:val="20"/>
      <w:lang w:val="en-US"/>
    </w:rPr>
  </w:style>
  <w:style w:type="paragraph" w:customStyle="1" w:styleId="IASBSectionTitle2Ind">
    <w:name w:val="IASB Section Title 2 Ind"/>
    <w:basedOn w:val="IASBSectionTitle2NonInd"/>
    <w:rsid w:val="00DB2AF7"/>
    <w:pPr>
      <w:spacing w:before="240"/>
      <w:ind w:left="782"/>
    </w:pPr>
  </w:style>
  <w:style w:type="paragraph" w:customStyle="1" w:styleId="IASBSectionTitle3NonInd">
    <w:name w:val="IASB Section Title 3 NonInd"/>
    <w:basedOn w:val="a"/>
    <w:rsid w:val="00DB2AF7"/>
    <w:pPr>
      <w:keepNext/>
      <w:keepLines/>
      <w:spacing w:before="300" w:after="200"/>
    </w:pPr>
    <w:rPr>
      <w:rFonts w:ascii="Arial" w:hAnsi="Arial" w:cs="Arial"/>
      <w:b/>
      <w:sz w:val="22"/>
      <w:szCs w:val="20"/>
      <w:lang w:val="en-US"/>
    </w:rPr>
  </w:style>
  <w:style w:type="paragraph" w:customStyle="1" w:styleId="IASBSectionTitle3Ind">
    <w:name w:val="IASB Section Title 3 Ind"/>
    <w:basedOn w:val="IASBSectionTitle3NonInd"/>
    <w:rsid w:val="00DB2AF7"/>
    <w:pPr>
      <w:spacing w:before="240"/>
      <w:ind w:left="782"/>
    </w:pPr>
  </w:style>
  <w:style w:type="paragraph" w:customStyle="1" w:styleId="IASBSectionTitle4NonInd">
    <w:name w:val="IASB Section Title 4 NonInd"/>
    <w:basedOn w:val="a"/>
    <w:rsid w:val="00DB2AF7"/>
    <w:pPr>
      <w:keepNext/>
      <w:keepLines/>
      <w:spacing w:before="300" w:after="200"/>
    </w:pPr>
    <w:rPr>
      <w:rFonts w:ascii="Arial" w:hAnsi="Arial" w:cs="Arial"/>
      <w:i/>
      <w:sz w:val="22"/>
      <w:szCs w:val="20"/>
      <w:lang w:val="en-US"/>
    </w:rPr>
  </w:style>
  <w:style w:type="paragraph" w:customStyle="1" w:styleId="IASBSectionTitle4Ind">
    <w:name w:val="IASB Section Title 4 Ind"/>
    <w:basedOn w:val="IASBSectionTitle4NonInd"/>
    <w:rsid w:val="00DB2AF7"/>
    <w:pPr>
      <w:ind w:left="782"/>
    </w:pPr>
  </w:style>
  <w:style w:type="paragraph" w:customStyle="1" w:styleId="IASBSectionTitle5NonInd">
    <w:name w:val="IASB Section Title 5 NonInd"/>
    <w:basedOn w:val="a"/>
    <w:rsid w:val="00DB2AF7"/>
    <w:pPr>
      <w:keepNext/>
      <w:keepLines/>
      <w:spacing w:before="300" w:after="200"/>
    </w:pPr>
    <w:rPr>
      <w:rFonts w:ascii="Arial" w:hAnsi="Arial" w:cs="Arial"/>
      <w:b/>
      <w:sz w:val="20"/>
      <w:szCs w:val="20"/>
      <w:lang w:val="en-US"/>
    </w:rPr>
  </w:style>
  <w:style w:type="paragraph" w:customStyle="1" w:styleId="IASBSectionTitle5Ind">
    <w:name w:val="IASB Section Title 5 Ind"/>
    <w:basedOn w:val="IASBSectionTitle5NonInd"/>
    <w:rsid w:val="00DB2AF7"/>
    <w:pPr>
      <w:ind w:left="782"/>
    </w:pPr>
  </w:style>
  <w:style w:type="paragraph" w:customStyle="1" w:styleId="IASBSectionTitle6NonInd">
    <w:name w:val="IASB Section Title 6 NonInd"/>
    <w:basedOn w:val="IASBSectionTitle5NonInd"/>
    <w:rsid w:val="00DB2AF7"/>
    <w:rPr>
      <w:b w:val="0"/>
      <w:i/>
    </w:rPr>
  </w:style>
  <w:style w:type="paragraph" w:customStyle="1" w:styleId="IASBSectionTitle6Ind">
    <w:name w:val="IASB Section Title 6 Ind"/>
    <w:basedOn w:val="IASBSectionTitle6NonInd"/>
    <w:rsid w:val="00DB2AF7"/>
    <w:pPr>
      <w:ind w:left="782"/>
    </w:pPr>
  </w:style>
  <w:style w:type="paragraph" w:customStyle="1" w:styleId="IASBTitle">
    <w:name w:val="IASB Title"/>
    <w:rsid w:val="00DB2AF7"/>
    <w:pPr>
      <w:keepNext/>
      <w:keepLines/>
      <w:spacing w:before="300" w:after="400"/>
    </w:pPr>
    <w:rPr>
      <w:rFonts w:cs="Arial"/>
      <w:sz w:val="36"/>
      <w:lang w:val="en-US"/>
    </w:rPr>
  </w:style>
  <w:style w:type="paragraph" w:customStyle="1" w:styleId="IASBNormalnparaL1">
    <w:name w:val="IASB Normal nparaL1"/>
    <w:basedOn w:val="IASBNormalnpara"/>
    <w:rsid w:val="00DB2AF7"/>
    <w:pPr>
      <w:ind w:left="1564"/>
    </w:pPr>
  </w:style>
  <w:style w:type="paragraph" w:customStyle="1" w:styleId="IASBNormalnparaP">
    <w:name w:val="IASB Normal nparaP"/>
    <w:basedOn w:val="IASBNormal"/>
    <w:rsid w:val="00DB2AF7"/>
    <w:pPr>
      <w:ind w:left="782"/>
    </w:pPr>
  </w:style>
  <w:style w:type="paragraph" w:customStyle="1" w:styleId="IASBIdentifier">
    <w:name w:val="IASB Identifier"/>
    <w:basedOn w:val="IASBTitle"/>
    <w:rsid w:val="00DB2AF7"/>
    <w:pPr>
      <w:spacing w:after="200"/>
    </w:pPr>
    <w:rPr>
      <w:rFonts w:ascii="Arial" w:hAnsi="Arial"/>
      <w:b/>
      <w:sz w:val="23"/>
    </w:rPr>
  </w:style>
  <w:style w:type="paragraph" w:customStyle="1" w:styleId="IASBTOCPrimary">
    <w:name w:val="IASB TOC Primary"/>
    <w:basedOn w:val="a"/>
    <w:rsid w:val="00DB2AF7"/>
    <w:pPr>
      <w:tabs>
        <w:tab w:val="right" w:pos="8647"/>
      </w:tabs>
      <w:spacing w:before="100" w:after="100"/>
    </w:pPr>
    <w:rPr>
      <w:rFonts w:ascii="Arial" w:hAnsi="Arial" w:cs="Arial"/>
      <w:b/>
      <w:caps/>
      <w:sz w:val="18"/>
      <w:szCs w:val="20"/>
      <w:lang w:val="en-US"/>
    </w:rPr>
  </w:style>
  <w:style w:type="paragraph" w:customStyle="1" w:styleId="IASBTOCParagraph">
    <w:name w:val="IASB TOC Paragraph"/>
    <w:basedOn w:val="a"/>
    <w:rsid w:val="00DB2AF7"/>
    <w:pPr>
      <w:spacing w:before="30" w:after="30"/>
    </w:pPr>
    <w:rPr>
      <w:rFonts w:ascii="Arial" w:hAnsi="Arial" w:cs="Arial"/>
      <w:i/>
      <w:sz w:val="18"/>
      <w:szCs w:val="20"/>
      <w:lang w:val="en-US"/>
    </w:rPr>
  </w:style>
  <w:style w:type="paragraph" w:customStyle="1" w:styleId="IASBTOCSecondary">
    <w:name w:val="IASB TOC Secondary"/>
    <w:basedOn w:val="a"/>
    <w:rsid w:val="00DB2AF7"/>
    <w:pPr>
      <w:tabs>
        <w:tab w:val="right" w:pos="8647"/>
      </w:tabs>
      <w:spacing w:before="30" w:after="30"/>
    </w:pPr>
    <w:rPr>
      <w:rFonts w:ascii="Arial" w:hAnsi="Arial" w:cs="Arial"/>
      <w:b/>
      <w:sz w:val="18"/>
      <w:szCs w:val="20"/>
      <w:lang w:val="en-US"/>
    </w:rPr>
  </w:style>
  <w:style w:type="paragraph" w:customStyle="1" w:styleId="IASBTOCTertiary">
    <w:name w:val="IASB TOC Tertiary"/>
    <w:basedOn w:val="a"/>
    <w:rsid w:val="00DB2AF7"/>
    <w:pPr>
      <w:tabs>
        <w:tab w:val="right" w:pos="8647"/>
      </w:tabs>
      <w:spacing w:before="30" w:after="30"/>
      <w:ind w:left="390"/>
    </w:pPr>
    <w:rPr>
      <w:rFonts w:ascii="Arial" w:hAnsi="Arial" w:cs="Arial"/>
      <w:sz w:val="18"/>
      <w:szCs w:val="20"/>
      <w:lang w:val="en-US"/>
    </w:rPr>
  </w:style>
  <w:style w:type="paragraph" w:customStyle="1" w:styleId="IASBTOCExternal">
    <w:name w:val="IASB TOC External"/>
    <w:basedOn w:val="a"/>
    <w:rsid w:val="00DB2AF7"/>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lang w:val="en-US"/>
    </w:rPr>
  </w:style>
  <w:style w:type="paragraph" w:customStyle="1" w:styleId="IASBRubric">
    <w:name w:val="IASB Rubric"/>
    <w:basedOn w:val="IASBNormal"/>
    <w:rsid w:val="00DB2AF7"/>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DB2AF7"/>
    <w:rPr>
      <w:i/>
    </w:rPr>
  </w:style>
  <w:style w:type="paragraph" w:customStyle="1" w:styleId="IASBBlockquote">
    <w:name w:val="IASB Blockquote"/>
    <w:basedOn w:val="IASBNormal"/>
    <w:rsid w:val="00DB2AF7"/>
    <w:pPr>
      <w:ind w:left="1565"/>
    </w:pPr>
    <w:rPr>
      <w:sz w:val="16"/>
    </w:rPr>
  </w:style>
  <w:style w:type="character" w:customStyle="1" w:styleId="IASBEduinsert">
    <w:name w:val="IASB Edu insert"/>
    <w:qFormat/>
    <w:rsid w:val="00DB2AF7"/>
  </w:style>
  <w:style w:type="character" w:styleId="a7">
    <w:name w:val="footnote reference"/>
    <w:uiPriority w:val="99"/>
    <w:semiHidden/>
    <w:unhideWhenUsed/>
    <w:rsid w:val="00DB2AF7"/>
    <w:rPr>
      <w:vertAlign w:val="superscript"/>
    </w:rPr>
  </w:style>
  <w:style w:type="paragraph" w:styleId="a8">
    <w:name w:val="footnote text"/>
    <w:basedOn w:val="IASBSectionTitle2Ind"/>
    <w:next w:val="IASBBlockquote"/>
    <w:link w:val="a9"/>
    <w:uiPriority w:val="99"/>
    <w:semiHidden/>
    <w:rsid w:val="00DB2AF7"/>
    <w:pPr>
      <w:keepNext w:val="0"/>
      <w:keepLines w:val="0"/>
      <w:shd w:val="clear" w:color="auto" w:fill="99CCFF"/>
      <w:spacing w:before="0" w:after="0"/>
      <w:ind w:left="0"/>
    </w:pPr>
    <w:rPr>
      <w:rFonts w:ascii="Times New Roman" w:hAnsi="Times New Roman" w:cs="Times New Roman"/>
      <w:b w:val="0"/>
      <w:sz w:val="16"/>
    </w:rPr>
  </w:style>
  <w:style w:type="character" w:customStyle="1" w:styleId="a9">
    <w:name w:val="Текст сноски Знак"/>
    <w:basedOn w:val="a0"/>
    <w:link w:val="a8"/>
    <w:uiPriority w:val="99"/>
    <w:semiHidden/>
    <w:rsid w:val="00DB2AF7"/>
    <w:rPr>
      <w:sz w:val="16"/>
      <w:shd w:val="clear" w:color="auto" w:fill="99CCFF"/>
      <w:lang w:val="en-US"/>
    </w:rPr>
  </w:style>
  <w:style w:type="paragraph" w:customStyle="1" w:styleId="IASBNormalL1">
    <w:name w:val="IASB Normal L1"/>
    <w:basedOn w:val="IASBNormalnpara"/>
    <w:rsid w:val="00DB2AF7"/>
  </w:style>
  <w:style w:type="paragraph" w:styleId="aa">
    <w:name w:val="header"/>
    <w:basedOn w:val="a"/>
    <w:link w:val="ab"/>
    <w:uiPriority w:val="99"/>
    <w:rsid w:val="00DB2AF7"/>
    <w:pPr>
      <w:tabs>
        <w:tab w:val="center" w:pos="4320"/>
        <w:tab w:val="right" w:pos="8640"/>
      </w:tabs>
    </w:pPr>
    <w:rPr>
      <w:lang w:val="en-GB"/>
    </w:rPr>
  </w:style>
  <w:style w:type="character" w:customStyle="1" w:styleId="ab">
    <w:name w:val="Верхний колонтитул Знак"/>
    <w:basedOn w:val="a0"/>
    <w:link w:val="aa"/>
    <w:uiPriority w:val="99"/>
    <w:rsid w:val="00DB2AF7"/>
    <w:rPr>
      <w:sz w:val="24"/>
      <w:szCs w:val="24"/>
      <w:lang w:val="en-GB"/>
    </w:rPr>
  </w:style>
  <w:style w:type="paragraph" w:styleId="ac">
    <w:name w:val="footer"/>
    <w:basedOn w:val="a"/>
    <w:link w:val="ad"/>
    <w:uiPriority w:val="99"/>
    <w:rsid w:val="00DB2AF7"/>
    <w:pPr>
      <w:tabs>
        <w:tab w:val="center" w:pos="4320"/>
        <w:tab w:val="right" w:pos="8640"/>
      </w:tabs>
    </w:pPr>
    <w:rPr>
      <w:lang w:val="en-GB"/>
    </w:rPr>
  </w:style>
  <w:style w:type="character" w:customStyle="1" w:styleId="ad">
    <w:name w:val="Нижний колонтитул Знак"/>
    <w:basedOn w:val="a0"/>
    <w:link w:val="ac"/>
    <w:uiPriority w:val="99"/>
    <w:rsid w:val="00DB2AF7"/>
    <w:rPr>
      <w:sz w:val="24"/>
      <w:szCs w:val="24"/>
      <w:lang w:val="en-GB"/>
    </w:rPr>
  </w:style>
  <w:style w:type="paragraph" w:customStyle="1" w:styleId="IASBRubricL1">
    <w:name w:val="IASB RubricL1"/>
    <w:basedOn w:val="IASBRubric"/>
    <w:rsid w:val="00DB2AF7"/>
    <w:pPr>
      <w:ind w:left="782" w:hanging="782"/>
      <w:jc w:val="left"/>
    </w:pPr>
    <w:rPr>
      <w:lang w:eastAsia="en-GB"/>
    </w:rPr>
  </w:style>
  <w:style w:type="paragraph" w:customStyle="1" w:styleId="IASBRubricL2">
    <w:name w:val="IASB RubricL2"/>
    <w:basedOn w:val="IASBRubricL1"/>
    <w:rsid w:val="00DB2AF7"/>
    <w:pPr>
      <w:tabs>
        <w:tab w:val="left" w:pos="782"/>
      </w:tabs>
      <w:ind w:left="1565" w:hanging="1565"/>
    </w:pPr>
  </w:style>
  <w:style w:type="paragraph" w:customStyle="1" w:styleId="IASBRubricL3">
    <w:name w:val="IASB RubricL3"/>
    <w:basedOn w:val="IASBRubricL2"/>
    <w:rsid w:val="00DB2AF7"/>
    <w:pPr>
      <w:tabs>
        <w:tab w:val="clear" w:pos="782"/>
        <w:tab w:val="left" w:pos="1565"/>
      </w:tabs>
      <w:ind w:left="2347" w:hanging="2347"/>
    </w:pPr>
  </w:style>
  <w:style w:type="paragraph" w:customStyle="1" w:styleId="IASBNormalnparaL2">
    <w:name w:val="IASB Normal nparaL2"/>
    <w:basedOn w:val="IASBNormalnparaL1"/>
    <w:rsid w:val="00DB2AF7"/>
    <w:pPr>
      <w:ind w:left="2347"/>
    </w:pPr>
  </w:style>
  <w:style w:type="paragraph" w:customStyle="1" w:styleId="IASBNormalnparaL3">
    <w:name w:val="IASB Normal nparaL3"/>
    <w:basedOn w:val="IASBNormalnparaL2"/>
    <w:rsid w:val="00DB2AF7"/>
    <w:pPr>
      <w:ind w:left="3129"/>
    </w:pPr>
  </w:style>
  <w:style w:type="paragraph" w:customStyle="1" w:styleId="IASBNormalnparaL4">
    <w:name w:val="IASB Normal nparaL4"/>
    <w:basedOn w:val="IASBNormalnparaL3"/>
    <w:rsid w:val="00DB2AF7"/>
    <w:pPr>
      <w:ind w:left="3912"/>
    </w:pPr>
  </w:style>
  <w:style w:type="paragraph" w:customStyle="1" w:styleId="IASBNormalnparaL5">
    <w:name w:val="IASB Normal nparaL5"/>
    <w:basedOn w:val="IASBNormalnparaL4"/>
    <w:rsid w:val="00DB2AF7"/>
    <w:pPr>
      <w:ind w:left="4694"/>
    </w:pPr>
  </w:style>
  <w:style w:type="paragraph" w:customStyle="1" w:styleId="IASBNormalnparaL1P">
    <w:name w:val="IASB Normal nparaL1P"/>
    <w:basedOn w:val="IASBNormalnparaL2"/>
    <w:rsid w:val="00DB2AF7"/>
    <w:pPr>
      <w:ind w:left="1565" w:firstLine="0"/>
    </w:pPr>
  </w:style>
  <w:style w:type="paragraph" w:customStyle="1" w:styleId="IASBNormalnparaL2P">
    <w:name w:val="IASB Normal nparaL2P"/>
    <w:basedOn w:val="IASBNormalnparaL1P"/>
    <w:rsid w:val="00DB2AF7"/>
    <w:pPr>
      <w:ind w:left="2347"/>
    </w:pPr>
  </w:style>
  <w:style w:type="paragraph" w:customStyle="1" w:styleId="IASBNormalnparaL3P">
    <w:name w:val="IASB Normal nparaL3P"/>
    <w:basedOn w:val="IASBNormalnparaL2P"/>
    <w:rsid w:val="00DB2AF7"/>
    <w:pPr>
      <w:ind w:left="3130"/>
    </w:pPr>
  </w:style>
  <w:style w:type="paragraph" w:customStyle="1" w:styleId="IASBNormalnparaL4P">
    <w:name w:val="IASB Normal nparaL4P"/>
    <w:basedOn w:val="IASBNormalnparaL3P"/>
    <w:rsid w:val="00DB2AF7"/>
    <w:pPr>
      <w:ind w:left="3912"/>
    </w:pPr>
  </w:style>
  <w:style w:type="paragraph" w:customStyle="1" w:styleId="IASBNormalnparaL5P">
    <w:name w:val="IASB Normal nparaL5P"/>
    <w:basedOn w:val="IASBNormalnparaL4P"/>
    <w:rsid w:val="00DB2AF7"/>
    <w:pPr>
      <w:ind w:left="4751"/>
    </w:pPr>
  </w:style>
  <w:style w:type="paragraph" w:customStyle="1" w:styleId="IASBBlockquoteL1">
    <w:name w:val="IASB BlockquoteL1"/>
    <w:basedOn w:val="IASBBlockquote"/>
    <w:rsid w:val="00DB2AF7"/>
    <w:pPr>
      <w:ind w:left="2347" w:hanging="782"/>
    </w:pPr>
  </w:style>
  <w:style w:type="paragraph" w:customStyle="1" w:styleId="IASBBlockquoteL2">
    <w:name w:val="IASB BlockquoteL2"/>
    <w:basedOn w:val="IASBBlockquoteL1"/>
    <w:rsid w:val="00DB2AF7"/>
    <w:pPr>
      <w:ind w:left="3129"/>
    </w:pPr>
  </w:style>
  <w:style w:type="paragraph" w:customStyle="1" w:styleId="IASBNormalL2">
    <w:name w:val="IASB Normal L2"/>
    <w:basedOn w:val="IASBNormalL1"/>
    <w:rsid w:val="00DB2AF7"/>
    <w:pPr>
      <w:ind w:left="1564"/>
    </w:pPr>
  </w:style>
  <w:style w:type="paragraph" w:customStyle="1" w:styleId="IASBTOCQuartery">
    <w:name w:val="IASB TOC Quartery"/>
    <w:basedOn w:val="IASBTOCTertiary"/>
    <w:rsid w:val="00DB2AF7"/>
    <w:pPr>
      <w:ind w:left="851"/>
    </w:pPr>
  </w:style>
  <w:style w:type="paragraph" w:customStyle="1" w:styleId="IASBNoteTitle">
    <w:name w:val="IASB Note Title"/>
    <w:basedOn w:val="IASBTOCPrimary"/>
    <w:rsid w:val="00DB2AF7"/>
    <w:pPr>
      <w:jc w:val="center"/>
    </w:pPr>
    <w:rPr>
      <w:b w:val="0"/>
      <w:caps w:val="0"/>
      <w:sz w:val="24"/>
    </w:rPr>
  </w:style>
  <w:style w:type="paragraph" w:customStyle="1" w:styleId="IASBNormalL1P">
    <w:name w:val="IASB Normal L1P"/>
    <w:basedOn w:val="IASBNormalL1"/>
    <w:qFormat/>
    <w:rsid w:val="00DB2AF7"/>
    <w:pPr>
      <w:ind w:firstLine="0"/>
    </w:pPr>
  </w:style>
  <w:style w:type="paragraph" w:customStyle="1" w:styleId="IASBNormalL2P">
    <w:name w:val="IASB Normal L2P"/>
    <w:basedOn w:val="IASBNormalL1P"/>
    <w:qFormat/>
    <w:rsid w:val="00DB2AF7"/>
    <w:pPr>
      <w:ind w:left="1565"/>
    </w:pPr>
  </w:style>
  <w:style w:type="paragraph" w:customStyle="1" w:styleId="IASBNormalnparaC">
    <w:name w:val="IASB Normal nparaC"/>
    <w:basedOn w:val="IASBNormalnpara"/>
    <w:qFormat/>
    <w:rsid w:val="00DB2AF7"/>
    <w:pPr>
      <w:spacing w:before="0"/>
    </w:pPr>
  </w:style>
  <w:style w:type="paragraph" w:customStyle="1" w:styleId="IASBEdupara">
    <w:name w:val="IASB Edu para"/>
    <w:basedOn w:val="IASBNormal"/>
    <w:qFormat/>
    <w:rsid w:val="00DB2AF7"/>
  </w:style>
  <w:style w:type="paragraph" w:customStyle="1" w:styleId="IASBTableBoldTNR">
    <w:name w:val="IASB Table Bold TNR"/>
    <w:basedOn w:val="a"/>
    <w:qFormat/>
    <w:rsid w:val="00DB2AF7"/>
    <w:pPr>
      <w:spacing w:before="120"/>
    </w:pPr>
    <w:rPr>
      <w:b/>
      <w:sz w:val="19"/>
      <w:szCs w:val="20"/>
      <w:lang w:val="en-GB" w:eastAsia="en-GB"/>
    </w:rPr>
  </w:style>
  <w:style w:type="paragraph" w:customStyle="1" w:styleId="IASBTableHeaderTNR">
    <w:name w:val="IASB Table Header TNR"/>
    <w:basedOn w:val="a"/>
    <w:qFormat/>
    <w:rsid w:val="00DB2AF7"/>
    <w:pPr>
      <w:keepNext/>
      <w:spacing w:before="120" w:after="200" w:line="276" w:lineRule="auto"/>
    </w:pPr>
    <w:rPr>
      <w:sz w:val="19"/>
      <w:szCs w:val="20"/>
      <w:lang w:val="en-GB" w:eastAsia="en-GB"/>
    </w:rPr>
  </w:style>
  <w:style w:type="paragraph" w:customStyle="1" w:styleId="IASBTableTNR">
    <w:name w:val="IASB Table TNR"/>
    <w:basedOn w:val="a"/>
    <w:qFormat/>
    <w:rsid w:val="00DB2AF7"/>
    <w:pPr>
      <w:spacing w:before="120"/>
    </w:pPr>
    <w:rPr>
      <w:sz w:val="19"/>
      <w:szCs w:val="20"/>
      <w:lang w:val="en-GB" w:eastAsia="en-GB"/>
    </w:rPr>
  </w:style>
  <w:style w:type="paragraph" w:customStyle="1" w:styleId="IASBTableArial">
    <w:name w:val="IASB Table Arial"/>
    <w:basedOn w:val="a"/>
    <w:rsid w:val="00DB2AF7"/>
    <w:pPr>
      <w:spacing w:before="120"/>
    </w:pPr>
    <w:rPr>
      <w:rFonts w:ascii="Arial" w:hAnsi="Arial"/>
      <w:sz w:val="18"/>
      <w:szCs w:val="20"/>
      <w:lang w:val="en-GB" w:eastAsia="en-GB"/>
    </w:rPr>
  </w:style>
  <w:style w:type="paragraph" w:customStyle="1" w:styleId="IASBTableBoldArial">
    <w:name w:val="IASB Table Bold Arial"/>
    <w:basedOn w:val="IASBTableArial"/>
    <w:qFormat/>
    <w:rsid w:val="00DB2AF7"/>
    <w:rPr>
      <w:b/>
    </w:rPr>
  </w:style>
  <w:style w:type="paragraph" w:customStyle="1" w:styleId="IASBTableHeaderArial">
    <w:name w:val="IASB Table Header Arial"/>
    <w:basedOn w:val="IASBTableArial"/>
    <w:qFormat/>
    <w:rsid w:val="00DB2AF7"/>
    <w:pPr>
      <w:keepNext/>
      <w:spacing w:after="200" w:line="276" w:lineRule="auto"/>
    </w:pPr>
  </w:style>
  <w:style w:type="character" w:styleId="ae">
    <w:name w:val="endnote reference"/>
    <w:uiPriority w:val="99"/>
    <w:semiHidden/>
    <w:unhideWhenUsed/>
    <w:rsid w:val="00DB2AF7"/>
    <w:rPr>
      <w:vertAlign w:val="superscript"/>
    </w:rPr>
  </w:style>
  <w:style w:type="character" w:styleId="af">
    <w:name w:val="annotation reference"/>
    <w:uiPriority w:val="99"/>
    <w:semiHidden/>
    <w:unhideWhenUsed/>
    <w:rsid w:val="00DB2AF7"/>
    <w:rPr>
      <w:sz w:val="16"/>
      <w:szCs w:val="16"/>
    </w:rPr>
  </w:style>
  <w:style w:type="paragraph" w:styleId="af0">
    <w:name w:val="annotation text"/>
    <w:basedOn w:val="a"/>
    <w:link w:val="af1"/>
    <w:uiPriority w:val="99"/>
    <w:semiHidden/>
    <w:unhideWhenUsed/>
    <w:rsid w:val="00DB2AF7"/>
    <w:rPr>
      <w:sz w:val="20"/>
      <w:szCs w:val="20"/>
      <w:lang w:val="en-GB"/>
    </w:rPr>
  </w:style>
  <w:style w:type="character" w:customStyle="1" w:styleId="af1">
    <w:name w:val="Текст примечания Знак"/>
    <w:basedOn w:val="a0"/>
    <w:link w:val="af0"/>
    <w:uiPriority w:val="99"/>
    <w:semiHidden/>
    <w:rsid w:val="00DB2AF7"/>
    <w:rPr>
      <w:lang w:val="en-GB"/>
    </w:rPr>
  </w:style>
  <w:style w:type="paragraph" w:styleId="af2">
    <w:name w:val="annotation subject"/>
    <w:basedOn w:val="af0"/>
    <w:next w:val="af0"/>
    <w:link w:val="af3"/>
    <w:uiPriority w:val="99"/>
    <w:semiHidden/>
    <w:unhideWhenUsed/>
    <w:rsid w:val="00DB2AF7"/>
    <w:rPr>
      <w:b/>
      <w:bCs/>
    </w:rPr>
  </w:style>
  <w:style w:type="character" w:customStyle="1" w:styleId="af3">
    <w:name w:val="Тема примечания Знак"/>
    <w:basedOn w:val="af1"/>
    <w:link w:val="af2"/>
    <w:uiPriority w:val="99"/>
    <w:semiHidden/>
    <w:rsid w:val="00DB2AF7"/>
    <w:rPr>
      <w:b/>
      <w:bCs/>
      <w:lang w:val="en-GB"/>
    </w:rPr>
  </w:style>
  <w:style w:type="character" w:customStyle="1" w:styleId="blk">
    <w:name w:val="blk"/>
    <w:basedOn w:val="a0"/>
    <w:rsid w:val="00DB2AF7"/>
  </w:style>
  <w:style w:type="character" w:customStyle="1" w:styleId="r">
    <w:name w:val="r"/>
    <w:basedOn w:val="a0"/>
    <w:rsid w:val="00DB2AF7"/>
  </w:style>
  <w:style w:type="character" w:customStyle="1" w:styleId="ep">
    <w:name w:val="ep"/>
    <w:basedOn w:val="a0"/>
    <w:rsid w:val="00DB2AF7"/>
  </w:style>
  <w:style w:type="paragraph" w:customStyle="1" w:styleId="Default">
    <w:name w:val="Default"/>
    <w:rsid w:val="00DB2AF7"/>
    <w:pPr>
      <w:autoSpaceDE w:val="0"/>
      <w:autoSpaceDN w:val="0"/>
      <w:adjustRightInd w:val="0"/>
    </w:pPr>
    <w:rPr>
      <w:color w:val="000000"/>
      <w:sz w:val="24"/>
      <w:szCs w:val="24"/>
      <w:lang w:val="en-US" w:eastAsia="en-GB"/>
    </w:rPr>
  </w:style>
  <w:style w:type="character" w:styleId="af4">
    <w:name w:val="Hyperlink"/>
    <w:uiPriority w:val="99"/>
    <w:semiHidden/>
    <w:unhideWhenUsed/>
    <w:rsid w:val="00DB2AF7"/>
    <w:rPr>
      <w:color w:val="0000FF"/>
      <w:u w:val="single"/>
    </w:rPr>
  </w:style>
  <w:style w:type="paragraph" w:styleId="af5">
    <w:name w:val="List Paragraph"/>
    <w:basedOn w:val="a"/>
    <w:uiPriority w:val="34"/>
    <w:qFormat/>
    <w:rsid w:val="00123821"/>
    <w:pPr>
      <w:ind w:left="720"/>
      <w:contextualSpacing/>
    </w:pPr>
  </w:style>
  <w:style w:type="paragraph" w:customStyle="1" w:styleId="ptable">
    <w:name w:val="p_table"/>
    <w:basedOn w:val="a"/>
    <w:rsid w:val="00123821"/>
    <w:pPr>
      <w:spacing w:before="100" w:beforeAutospacing="1" w:after="100" w:afterAutospacing="1"/>
    </w:pPr>
  </w:style>
  <w:style w:type="character" w:customStyle="1" w:styleId="ftable">
    <w:name w:val="f_table"/>
    <w:basedOn w:val="a0"/>
    <w:rsid w:val="00123821"/>
  </w:style>
  <w:style w:type="table" w:styleId="af6">
    <w:name w:val="Table Grid"/>
    <w:basedOn w:val="a1"/>
    <w:rsid w:val="00F237EA"/>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rsid w:val="00F855FF"/>
    <w:rPr>
      <w:rFonts w:asciiTheme="majorHAnsi" w:eastAsiaTheme="majorEastAsia" w:hAnsiTheme="majorHAnsi" w:cstheme="majorBidi"/>
      <w:b/>
      <w:bCs/>
      <w:color w:val="4F81BD" w:themeColor="accent1"/>
      <w:sz w:val="24"/>
      <w:szCs w:val="24"/>
    </w:rPr>
  </w:style>
  <w:style w:type="character" w:styleId="af7">
    <w:name w:val="Strong"/>
    <w:basedOn w:val="a0"/>
    <w:qFormat/>
    <w:rsid w:val="00487815"/>
    <w:rPr>
      <w:b/>
      <w:bCs/>
    </w:rPr>
  </w:style>
  <w:style w:type="paragraph" w:styleId="af8">
    <w:name w:val="Title"/>
    <w:basedOn w:val="a"/>
    <w:next w:val="a"/>
    <w:link w:val="af9"/>
    <w:qFormat/>
    <w:rsid w:val="007934A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9">
    <w:name w:val="Заголовок Знак"/>
    <w:basedOn w:val="a0"/>
    <w:link w:val="af8"/>
    <w:rsid w:val="007934AF"/>
    <w:rPr>
      <w:rFonts w:asciiTheme="majorHAnsi" w:eastAsiaTheme="majorEastAsia" w:hAnsiTheme="majorHAnsi" w:cstheme="majorBidi"/>
      <w:color w:val="17365D" w:themeColor="text2" w:themeShade="BF"/>
      <w:spacing w:val="5"/>
      <w:kern w:val="28"/>
      <w:sz w:val="52"/>
      <w:szCs w:val="52"/>
    </w:rPr>
  </w:style>
  <w:style w:type="paragraph" w:styleId="afa">
    <w:name w:val="Subtitle"/>
    <w:basedOn w:val="a"/>
    <w:next w:val="a"/>
    <w:link w:val="afb"/>
    <w:qFormat/>
    <w:rsid w:val="00687DDB"/>
    <w:pPr>
      <w:numPr>
        <w:ilvl w:val="1"/>
      </w:numPr>
    </w:pPr>
    <w:rPr>
      <w:rFonts w:asciiTheme="majorHAnsi" w:eastAsiaTheme="majorEastAsia" w:hAnsiTheme="majorHAnsi" w:cstheme="majorBidi"/>
      <w:i/>
      <w:iCs/>
      <w:color w:val="4F81BD" w:themeColor="accent1"/>
      <w:spacing w:val="15"/>
    </w:rPr>
  </w:style>
  <w:style w:type="character" w:customStyle="1" w:styleId="afb">
    <w:name w:val="Подзаголовок Знак"/>
    <w:basedOn w:val="a0"/>
    <w:link w:val="afa"/>
    <w:rsid w:val="00687DDB"/>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547972">
      <w:bodyDiv w:val="1"/>
      <w:marLeft w:val="0"/>
      <w:marRight w:val="0"/>
      <w:marTop w:val="0"/>
      <w:marBottom w:val="0"/>
      <w:divBdr>
        <w:top w:val="none" w:sz="0" w:space="0" w:color="auto"/>
        <w:left w:val="none" w:sz="0" w:space="0" w:color="auto"/>
        <w:bottom w:val="none" w:sz="0" w:space="0" w:color="auto"/>
        <w:right w:val="none" w:sz="0" w:space="0" w:color="auto"/>
      </w:divBdr>
    </w:div>
    <w:div w:id="1201161221">
      <w:bodyDiv w:val="1"/>
      <w:marLeft w:val="0"/>
      <w:marRight w:val="0"/>
      <w:marTop w:val="0"/>
      <w:marBottom w:val="0"/>
      <w:divBdr>
        <w:top w:val="none" w:sz="0" w:space="0" w:color="auto"/>
        <w:left w:val="none" w:sz="0" w:space="0" w:color="auto"/>
        <w:bottom w:val="none" w:sz="0" w:space="0" w:color="auto"/>
        <w:right w:val="none" w:sz="0" w:space="0" w:color="auto"/>
      </w:divBdr>
    </w:div>
    <w:div w:id="1677027450">
      <w:bodyDiv w:val="1"/>
      <w:marLeft w:val="0"/>
      <w:marRight w:val="0"/>
      <w:marTop w:val="0"/>
      <w:marBottom w:val="0"/>
      <w:divBdr>
        <w:top w:val="none" w:sz="0" w:space="0" w:color="auto"/>
        <w:left w:val="none" w:sz="0" w:space="0" w:color="auto"/>
        <w:bottom w:val="none" w:sz="0" w:space="0" w:color="auto"/>
        <w:right w:val="none" w:sz="0" w:space="0" w:color="auto"/>
      </w:divBdr>
    </w:div>
    <w:div w:id="1933315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2A5AD-DDCB-4FE8-BC7A-33E5B3859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4311</Words>
  <Characters>24573</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Accounting Policies</vt:lpstr>
    </vt:vector>
  </TitlesOfParts>
  <Company/>
  <LinksUpToDate>false</LinksUpToDate>
  <CharactersWithSpaces>28827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Accounting Regulations</dc:title>
  <dc:subject>ISLAMIC ORGANIZATION FOR FOOD SECURITY</dc:subject>
  <dc:creator>Sony</dc:creator>
  <cp:lastModifiedBy>Marina</cp:lastModifiedBy>
  <cp:revision>3</cp:revision>
  <cp:lastPrinted>2019-07-29T13:41:00Z</cp:lastPrinted>
  <dcterms:created xsi:type="dcterms:W3CDTF">2019-08-08T10:35:00Z</dcterms:created>
  <dcterms:modified xsi:type="dcterms:W3CDTF">2019-08-08T10:36:00Z</dcterms:modified>
</cp:coreProperties>
</file>