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99EC7" w14:textId="5A9C9D67" w:rsidR="00E9183C" w:rsidRDefault="0048254C" w:rsidP="00357E68">
      <w:pPr>
        <w:pStyle w:val="a3"/>
        <w:spacing w:before="0" w:beforeAutospacing="0" w:after="0" w:afterAutospacing="0"/>
        <w:jc w:val="right"/>
        <w:rPr>
          <w:rFonts w:cstheme="minorBidi"/>
          <w:i/>
          <w:iCs/>
          <w:color w:val="000000" w:themeColor="text1"/>
          <w:kern w:val="24"/>
          <w:lang w:val="kk-KZ"/>
        </w:rPr>
      </w:pPr>
      <w:r>
        <w:rPr>
          <w:rFonts w:cstheme="minorBidi"/>
          <w:i/>
          <w:iCs/>
          <w:noProof/>
          <w:color w:val="000000" w:themeColor="text1"/>
          <w:kern w:val="24"/>
          <w:lang w:val="en-US"/>
        </w:rPr>
        <w:drawing>
          <wp:anchor distT="152400" distB="152400" distL="152400" distR="152400" simplePos="0" relativeHeight="251658240" behindDoc="0" locked="0" layoutInCell="1" allowOverlap="1" wp14:anchorId="60F8E918" wp14:editId="0540A86A">
            <wp:simplePos x="0" y="0"/>
            <wp:positionH relativeFrom="margin">
              <wp:posOffset>-158115</wp:posOffset>
            </wp:positionH>
            <wp:positionV relativeFrom="page">
              <wp:posOffset>436880</wp:posOffset>
            </wp:positionV>
            <wp:extent cx="1470660" cy="1470660"/>
            <wp:effectExtent l="0" t="0" r="0" b="0"/>
            <wp:wrapThrough wrapText="bothSides">
              <wp:wrapPolygon edited="0">
                <wp:start x="0" y="0"/>
                <wp:lineTo x="0" y="21264"/>
                <wp:lineTo x="21264" y="21264"/>
                <wp:lineTo x="21264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183C">
        <w:rPr>
          <w:rFonts w:cstheme="minorBidi"/>
          <w:i/>
          <w:iCs/>
          <w:color w:val="000000" w:themeColor="text1"/>
          <w:kern w:val="24"/>
          <w:lang w:val="kk-KZ"/>
        </w:rPr>
        <w:t xml:space="preserve"> </w:t>
      </w:r>
    </w:p>
    <w:p w14:paraId="560B0C47" w14:textId="77777777" w:rsidR="00E9183C" w:rsidRDefault="00E9183C" w:rsidP="00357E68">
      <w:pPr>
        <w:pStyle w:val="a3"/>
        <w:spacing w:before="0" w:beforeAutospacing="0" w:after="0" w:afterAutospacing="0"/>
        <w:jc w:val="right"/>
        <w:rPr>
          <w:rFonts w:cstheme="minorBidi"/>
          <w:i/>
          <w:iCs/>
          <w:color w:val="000000" w:themeColor="text1"/>
          <w:kern w:val="24"/>
          <w:lang w:val="kk-KZ"/>
        </w:rPr>
      </w:pPr>
    </w:p>
    <w:p w14:paraId="6FA1CCD7" w14:textId="6D3CF189" w:rsidR="00357E68" w:rsidRPr="00A1363C" w:rsidRDefault="00357E68" w:rsidP="00357E68">
      <w:pPr>
        <w:pStyle w:val="a3"/>
        <w:spacing w:before="0" w:beforeAutospacing="0" w:after="0" w:afterAutospacing="0"/>
        <w:jc w:val="right"/>
        <w:rPr>
          <w:lang w:val="en-US"/>
        </w:rPr>
      </w:pPr>
      <w:r>
        <w:rPr>
          <w:rFonts w:cstheme="minorBidi"/>
          <w:i/>
          <w:iCs/>
          <w:color w:val="000000" w:themeColor="text1"/>
          <w:kern w:val="24"/>
          <w:lang w:val="en-US"/>
        </w:rPr>
        <w:t>Annex</w:t>
      </w:r>
    </w:p>
    <w:p w14:paraId="2D3C4938" w14:textId="77777777" w:rsidR="00357E68" w:rsidRPr="00A1363C" w:rsidRDefault="00357E68" w:rsidP="00357E68">
      <w:pPr>
        <w:pStyle w:val="a3"/>
        <w:spacing w:before="0" w:beforeAutospacing="0" w:after="0" w:afterAutospacing="0" w:line="41" w:lineRule="exact"/>
        <w:jc w:val="right"/>
        <w:rPr>
          <w:lang w:val="en-US"/>
        </w:rPr>
      </w:pPr>
      <w:r>
        <w:rPr>
          <w:rFonts w:cstheme="minorBidi"/>
          <w:color w:val="000000" w:themeColor="text1"/>
          <w:kern w:val="24"/>
          <w:lang w:val="en-US"/>
        </w:rPr>
        <w:t> </w:t>
      </w:r>
    </w:p>
    <w:p w14:paraId="1AA8BFAC" w14:textId="20D1FAF3" w:rsidR="00094AAF" w:rsidRPr="00094AAF" w:rsidRDefault="00094AAF" w:rsidP="00094AAF">
      <w:pPr>
        <w:pStyle w:val="a3"/>
        <w:spacing w:before="0" w:beforeAutospacing="0" w:after="0" w:afterAutospacing="0"/>
        <w:jc w:val="right"/>
        <w:rPr>
          <w:rFonts w:cstheme="minorBidi"/>
          <w:i/>
          <w:iCs/>
          <w:color w:val="000000" w:themeColor="text1"/>
          <w:kern w:val="24"/>
          <w:lang w:val="en-US"/>
        </w:rPr>
      </w:pPr>
      <w:r>
        <w:rPr>
          <w:rFonts w:cstheme="minorBidi"/>
          <w:i/>
          <w:iCs/>
          <w:color w:val="000000" w:themeColor="text1"/>
          <w:kern w:val="24"/>
          <w:lang w:val="en-US"/>
        </w:rPr>
        <w:t xml:space="preserve">to the </w:t>
      </w:r>
      <w:r w:rsidRPr="00094AAF">
        <w:rPr>
          <w:rFonts w:cstheme="minorBidi"/>
          <w:i/>
          <w:iCs/>
          <w:color w:val="000000" w:themeColor="text1"/>
          <w:kern w:val="24"/>
          <w:lang w:val="en-US"/>
        </w:rPr>
        <w:t>Resolution № IOFS/GA/1-10-2019</w:t>
      </w:r>
    </w:p>
    <w:p w14:paraId="0F9E3CF9" w14:textId="10695283" w:rsidR="00094AAF" w:rsidRDefault="00094AAF" w:rsidP="00094AAF">
      <w:pPr>
        <w:pStyle w:val="a3"/>
        <w:spacing w:before="0" w:beforeAutospacing="0" w:after="0" w:afterAutospacing="0"/>
        <w:jc w:val="right"/>
        <w:rPr>
          <w:rFonts w:cstheme="minorBidi"/>
          <w:i/>
          <w:iCs/>
          <w:color w:val="000000" w:themeColor="text1"/>
          <w:kern w:val="24"/>
          <w:lang w:val="en-US"/>
        </w:rPr>
      </w:pPr>
      <w:r w:rsidRPr="00094AAF">
        <w:rPr>
          <w:rFonts w:cstheme="minorBidi"/>
          <w:i/>
          <w:iCs/>
          <w:color w:val="000000" w:themeColor="text1"/>
          <w:kern w:val="24"/>
          <w:lang w:val="en-US"/>
        </w:rPr>
        <w:t>on</w:t>
      </w:r>
      <w:r>
        <w:rPr>
          <w:rFonts w:cstheme="minorBidi"/>
          <w:i/>
          <w:iCs/>
          <w:color w:val="000000" w:themeColor="text1"/>
          <w:kern w:val="24"/>
          <w:lang w:val="en-US"/>
        </w:rPr>
        <w:t xml:space="preserve"> </w:t>
      </w:r>
      <w:bookmarkStart w:id="0" w:name="_Hlk11524329"/>
      <w:r w:rsidRPr="00094AAF">
        <w:rPr>
          <w:rFonts w:cstheme="minorBidi"/>
          <w:i/>
          <w:iCs/>
          <w:color w:val="000000" w:themeColor="text1"/>
          <w:kern w:val="24"/>
          <w:lang w:val="en-US"/>
        </w:rPr>
        <w:t xml:space="preserve">adoption of the </w:t>
      </w:r>
      <w:r w:rsidR="00680867" w:rsidRPr="00094AAF">
        <w:rPr>
          <w:rFonts w:cstheme="minorBidi"/>
          <w:i/>
          <w:iCs/>
          <w:color w:val="000000" w:themeColor="text1"/>
          <w:kern w:val="24"/>
          <w:lang w:val="en-US"/>
        </w:rPr>
        <w:t xml:space="preserve">Scale </w:t>
      </w:r>
      <w:r w:rsidRPr="00094AAF">
        <w:rPr>
          <w:rFonts w:cstheme="minorBidi"/>
          <w:i/>
          <w:iCs/>
          <w:color w:val="000000" w:themeColor="text1"/>
          <w:kern w:val="24"/>
          <w:lang w:val="en-US"/>
        </w:rPr>
        <w:t>of</w:t>
      </w:r>
    </w:p>
    <w:p w14:paraId="42EF2EA4" w14:textId="13ECC942" w:rsidR="00094AAF" w:rsidRDefault="00094AAF" w:rsidP="00094AAF">
      <w:pPr>
        <w:pStyle w:val="a3"/>
        <w:spacing w:before="0" w:beforeAutospacing="0" w:after="0" w:afterAutospacing="0"/>
        <w:jc w:val="right"/>
        <w:rPr>
          <w:rFonts w:cstheme="minorBidi"/>
          <w:i/>
          <w:iCs/>
          <w:color w:val="000000" w:themeColor="text1"/>
          <w:kern w:val="24"/>
          <w:lang w:val="en-US"/>
        </w:rPr>
      </w:pPr>
      <w:r w:rsidRPr="00094AAF">
        <w:rPr>
          <w:rFonts w:cstheme="minorBidi"/>
          <w:i/>
          <w:iCs/>
          <w:color w:val="000000" w:themeColor="text1"/>
          <w:kern w:val="24"/>
          <w:lang w:val="en-US"/>
        </w:rPr>
        <w:t xml:space="preserve"> </w:t>
      </w:r>
      <w:r w:rsidR="00680867" w:rsidRPr="00094AAF">
        <w:rPr>
          <w:rFonts w:cstheme="minorBidi"/>
          <w:i/>
          <w:iCs/>
          <w:color w:val="000000" w:themeColor="text1"/>
          <w:kern w:val="24"/>
          <w:lang w:val="en-US"/>
        </w:rPr>
        <w:t xml:space="preserve">Mandatory Contributions </w:t>
      </w:r>
    </w:p>
    <w:p w14:paraId="3227179B" w14:textId="38E0C1C1" w:rsidR="00094AAF" w:rsidRPr="00094AAF" w:rsidRDefault="00094AAF" w:rsidP="00094AAF">
      <w:pPr>
        <w:pStyle w:val="a3"/>
        <w:spacing w:before="0" w:beforeAutospacing="0" w:after="0" w:afterAutospacing="0"/>
        <w:jc w:val="right"/>
        <w:rPr>
          <w:rFonts w:cstheme="minorBidi"/>
          <w:i/>
          <w:iCs/>
          <w:color w:val="000000" w:themeColor="text1"/>
          <w:kern w:val="24"/>
          <w:lang w:val="en-US"/>
        </w:rPr>
      </w:pPr>
      <w:r w:rsidRPr="00094AAF">
        <w:rPr>
          <w:rFonts w:cstheme="minorBidi"/>
          <w:i/>
          <w:iCs/>
          <w:color w:val="000000" w:themeColor="text1"/>
          <w:kern w:val="24"/>
          <w:lang w:val="en-US"/>
        </w:rPr>
        <w:t xml:space="preserve">of the </w:t>
      </w:r>
      <w:r w:rsidR="00680867" w:rsidRPr="00094AAF">
        <w:rPr>
          <w:rFonts w:cstheme="minorBidi"/>
          <w:i/>
          <w:iCs/>
          <w:color w:val="000000" w:themeColor="text1"/>
          <w:kern w:val="24"/>
          <w:lang w:val="en-US"/>
        </w:rPr>
        <w:t>Member States</w:t>
      </w:r>
    </w:p>
    <w:bookmarkEnd w:id="0"/>
    <w:p w14:paraId="48C9AE37" w14:textId="77777777" w:rsidR="00357E68" w:rsidRPr="00080BD2" w:rsidRDefault="00357E68" w:rsidP="003A037D">
      <w:pPr>
        <w:spacing w:before="120" w:after="120"/>
        <w:jc w:val="center"/>
        <w:rPr>
          <w:b/>
          <w:bCs/>
          <w:iCs/>
          <w:lang w:val="en-US"/>
        </w:rPr>
      </w:pPr>
    </w:p>
    <w:p w14:paraId="31C7A336" w14:textId="77777777" w:rsidR="00664493" w:rsidRPr="00080BD2" w:rsidRDefault="00664493" w:rsidP="003A037D">
      <w:pPr>
        <w:spacing w:before="120" w:after="120"/>
        <w:jc w:val="center"/>
        <w:rPr>
          <w:b/>
          <w:bCs/>
          <w:iCs/>
          <w:lang w:val="en-US"/>
        </w:rPr>
      </w:pPr>
    </w:p>
    <w:p w14:paraId="1FF84BD2" w14:textId="77777777" w:rsidR="00664493" w:rsidRPr="00080BD2" w:rsidRDefault="00664493" w:rsidP="003A037D">
      <w:pPr>
        <w:spacing w:before="120" w:after="120"/>
        <w:jc w:val="center"/>
        <w:rPr>
          <w:b/>
          <w:bCs/>
          <w:iCs/>
          <w:lang w:val="en-US"/>
        </w:rPr>
      </w:pPr>
    </w:p>
    <w:p w14:paraId="09F38027" w14:textId="094426F6" w:rsidR="00F14070" w:rsidRPr="00080BD2" w:rsidRDefault="00080BD2" w:rsidP="003A037D">
      <w:pPr>
        <w:spacing w:before="120" w:after="120"/>
        <w:jc w:val="center"/>
        <w:rPr>
          <w:b/>
          <w:bCs/>
          <w:iCs/>
          <w:lang w:val="en-US"/>
        </w:rPr>
      </w:pPr>
      <w:r>
        <w:rPr>
          <w:b/>
          <w:bCs/>
          <w:iCs/>
          <w:lang w:val="en-US"/>
        </w:rPr>
        <w:t>EXPLANATORY NOTE</w:t>
      </w:r>
    </w:p>
    <w:p w14:paraId="59AD55BB" w14:textId="77777777" w:rsidR="003A037D" w:rsidRPr="00080BD2" w:rsidRDefault="003A037D" w:rsidP="00094AAF">
      <w:pPr>
        <w:spacing w:beforeLines="60" w:before="144" w:afterLines="60" w:after="144"/>
        <w:jc w:val="both"/>
        <w:rPr>
          <w:lang w:val="en-US"/>
        </w:rPr>
      </w:pPr>
    </w:p>
    <w:p w14:paraId="71629ED2" w14:textId="01EDA34E" w:rsidR="00080BD2" w:rsidRDefault="00080BD2" w:rsidP="00080BD2">
      <w:pPr>
        <w:spacing w:beforeLines="60" w:before="144" w:afterLines="60" w:after="144"/>
        <w:jc w:val="both"/>
        <w:rPr>
          <w:lang w:val="en-US"/>
        </w:rPr>
      </w:pPr>
      <w:r w:rsidRPr="00FF04ED">
        <w:rPr>
          <w:lang w:val="en-US"/>
        </w:rPr>
        <w:t>According to the sub-clause (e) clause 1 Article 18 of the IOFS Statute</w:t>
      </w:r>
      <w:r w:rsidRPr="00094AAF">
        <w:rPr>
          <w:lang w:val="en-US"/>
        </w:rPr>
        <w:t xml:space="preserve"> the Member States are expected to contribute to the Budget in accordance with the </w:t>
      </w:r>
      <w:r>
        <w:rPr>
          <w:lang w:val="en-US"/>
        </w:rPr>
        <w:t xml:space="preserve">Adopted </w:t>
      </w:r>
      <w:r w:rsidRPr="00094AAF">
        <w:rPr>
          <w:lang w:val="en-US"/>
        </w:rPr>
        <w:t xml:space="preserve">Scale of </w:t>
      </w:r>
      <w:r>
        <w:rPr>
          <w:lang w:val="en-US"/>
        </w:rPr>
        <w:t xml:space="preserve">Mandatory </w:t>
      </w:r>
      <w:r w:rsidRPr="00094AAF">
        <w:rPr>
          <w:lang w:val="en-US"/>
        </w:rPr>
        <w:t>Contributions</w:t>
      </w:r>
      <w:r>
        <w:rPr>
          <w:lang w:val="en-US"/>
        </w:rPr>
        <w:t xml:space="preserve"> based on </w:t>
      </w:r>
      <w:r w:rsidRPr="00FF04ED">
        <w:rPr>
          <w:lang w:val="en-US"/>
        </w:rPr>
        <w:t>the OIC Scale of Mandatory Contributions</w:t>
      </w:r>
      <w:r w:rsidRPr="00094AAF">
        <w:rPr>
          <w:lang w:val="en-US"/>
        </w:rPr>
        <w:t xml:space="preserve">. </w:t>
      </w:r>
    </w:p>
    <w:p w14:paraId="79D81320" w14:textId="38AB99BD" w:rsidR="00080BD2" w:rsidRDefault="00080BD2" w:rsidP="00347829">
      <w:pPr>
        <w:spacing w:beforeLines="60" w:before="144" w:afterLines="60" w:after="144"/>
        <w:jc w:val="both"/>
        <w:rPr>
          <w:lang w:val="en-US"/>
        </w:rPr>
      </w:pPr>
      <w:r w:rsidRPr="00080BD2">
        <w:rPr>
          <w:lang w:val="en-US"/>
        </w:rPr>
        <w:t xml:space="preserve">In this regard, the IOFS Secretariat </w:t>
      </w:r>
      <w:r>
        <w:rPr>
          <w:lang w:val="en-US"/>
        </w:rPr>
        <w:t>requested assistance from OIC</w:t>
      </w:r>
      <w:r w:rsidRPr="00080BD2">
        <w:rPr>
          <w:lang w:val="en-US"/>
        </w:rPr>
        <w:t xml:space="preserve"> in elaboration of an assessment methodology.</w:t>
      </w:r>
      <w:r>
        <w:rPr>
          <w:lang w:val="en-US"/>
        </w:rPr>
        <w:t xml:space="preserve"> </w:t>
      </w:r>
      <w:r w:rsidRPr="00080BD2">
        <w:rPr>
          <w:lang w:val="en-US"/>
        </w:rPr>
        <w:t>OIC provided its calculation scale and proposed the SESRIC methodology. Given the membership of the Organization, the OIC scale was adopted as the basis.</w:t>
      </w:r>
    </w:p>
    <w:p w14:paraId="2A35C180" w14:textId="6EA99DBF" w:rsidR="00080BD2" w:rsidRPr="00080BD2" w:rsidRDefault="00080BD2" w:rsidP="00347829">
      <w:pPr>
        <w:spacing w:beforeLines="60" w:before="144" w:afterLines="60" w:after="144"/>
        <w:jc w:val="both"/>
        <w:rPr>
          <w:lang w:val="en-US"/>
        </w:rPr>
      </w:pPr>
      <w:r w:rsidRPr="00080BD2">
        <w:rPr>
          <w:lang w:val="en-US"/>
        </w:rPr>
        <w:t>Mandatory budgetary contributions of Member States to be determined proportionate to the national incomes of the Member States pursuant to Article 29-1 of the OIC Charter.</w:t>
      </w:r>
      <w:r>
        <w:rPr>
          <w:lang w:val="en-US"/>
        </w:rPr>
        <w:t xml:space="preserve"> </w:t>
      </w:r>
      <w:r w:rsidRPr="00080BD2">
        <w:rPr>
          <w:lang w:val="en-US"/>
        </w:rPr>
        <w:t xml:space="preserve">The OIC scale is agreed by member states and </w:t>
      </w:r>
      <w:r w:rsidR="00473600" w:rsidRPr="00080BD2">
        <w:rPr>
          <w:lang w:val="en-US"/>
        </w:rPr>
        <w:t>considers</w:t>
      </w:r>
      <w:r w:rsidRPr="00080BD2">
        <w:rPr>
          <w:lang w:val="en-US"/>
        </w:rPr>
        <w:t xml:space="preserve"> the need to pay contributions by all OIC member countries.</w:t>
      </w:r>
    </w:p>
    <w:p w14:paraId="2027213E" w14:textId="77777777" w:rsidR="00473600" w:rsidRPr="00680867" w:rsidRDefault="00473600" w:rsidP="00473600">
      <w:pPr>
        <w:spacing w:beforeLines="60" w:before="144" w:afterLines="60" w:after="144"/>
        <w:jc w:val="both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THE BASIS: </w:t>
      </w:r>
      <w:r w:rsidRPr="00680867">
        <w:rPr>
          <w:b/>
          <w:bCs/>
          <w:u w:val="single"/>
          <w:lang w:val="en-US"/>
        </w:rPr>
        <w:t xml:space="preserve">Existing OIC scale 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252"/>
        <w:gridCol w:w="3969"/>
      </w:tblGrid>
      <w:tr w:rsidR="00822B1E" w:rsidRPr="001467CC" w14:paraId="7D10DF40" w14:textId="77777777" w:rsidTr="00080BD2">
        <w:trPr>
          <w:trHeight w:val="232"/>
        </w:trPr>
        <w:tc>
          <w:tcPr>
            <w:tcW w:w="993" w:type="dxa"/>
          </w:tcPr>
          <w:p w14:paraId="4999F0FF" w14:textId="77777777" w:rsidR="00822B1E" w:rsidRPr="001467CC" w:rsidRDefault="00822B1E" w:rsidP="00080BD2">
            <w:pPr>
              <w:pStyle w:val="TableParagraph"/>
              <w:spacing w:before="7" w:line="205" w:lineRule="exact"/>
              <w:ind w:left="501"/>
              <w:rPr>
                <w:rFonts w:asciiTheme="majorBidi" w:hAnsiTheme="majorBidi" w:cstheme="majorBidi"/>
                <w:b/>
                <w:bCs/>
                <w:sz w:val="18"/>
              </w:rPr>
            </w:pPr>
            <w:r w:rsidRPr="001467CC">
              <w:rPr>
                <w:rFonts w:asciiTheme="majorBidi" w:hAnsiTheme="majorBidi" w:cstheme="majorBidi"/>
                <w:b/>
                <w:bCs/>
                <w:w w:val="105"/>
                <w:sz w:val="18"/>
              </w:rPr>
              <w:t>No.</w:t>
            </w:r>
          </w:p>
        </w:tc>
        <w:tc>
          <w:tcPr>
            <w:tcW w:w="4252" w:type="dxa"/>
          </w:tcPr>
          <w:p w14:paraId="31BF3D54" w14:textId="539157D1" w:rsidR="00822B1E" w:rsidRPr="00473600" w:rsidRDefault="00473600" w:rsidP="00E9183C">
            <w:pPr>
              <w:pStyle w:val="TableParagraph"/>
              <w:spacing w:before="7" w:line="205" w:lineRule="exact"/>
              <w:ind w:left="144"/>
              <w:jc w:val="center"/>
              <w:rPr>
                <w:rFonts w:asciiTheme="majorBidi" w:hAnsiTheme="majorBidi" w:cstheme="majorBidi"/>
                <w:b/>
                <w:bCs/>
                <w:sz w:val="18"/>
              </w:rPr>
            </w:pPr>
            <w:r>
              <w:rPr>
                <w:rFonts w:asciiTheme="majorBidi" w:hAnsiTheme="majorBidi" w:cstheme="majorBidi"/>
                <w:b/>
                <w:bCs/>
                <w:w w:val="105"/>
                <w:sz w:val="18"/>
              </w:rPr>
              <w:t>OIC Member States</w:t>
            </w:r>
          </w:p>
        </w:tc>
        <w:tc>
          <w:tcPr>
            <w:tcW w:w="3969" w:type="dxa"/>
          </w:tcPr>
          <w:p w14:paraId="10A09F6D" w14:textId="7A3D1A00" w:rsidR="00822B1E" w:rsidRPr="001467CC" w:rsidRDefault="00473600" w:rsidP="00E9183C">
            <w:pPr>
              <w:pStyle w:val="TableParagraph"/>
              <w:spacing w:before="7" w:line="205" w:lineRule="exact"/>
              <w:ind w:left="376"/>
              <w:jc w:val="center"/>
              <w:rPr>
                <w:rFonts w:asciiTheme="majorBidi" w:hAnsiTheme="majorBidi" w:cstheme="majorBidi"/>
                <w:b/>
                <w:bCs/>
                <w:sz w:val="18"/>
              </w:rPr>
            </w:pPr>
            <w:r>
              <w:rPr>
                <w:rFonts w:asciiTheme="majorBidi" w:hAnsiTheme="majorBidi" w:cstheme="majorBidi"/>
                <w:b/>
                <w:bCs/>
                <w:w w:val="105"/>
                <w:sz w:val="18"/>
              </w:rPr>
              <w:t>Scale</w:t>
            </w:r>
            <w:r>
              <w:rPr>
                <w:rFonts w:asciiTheme="majorBidi" w:hAnsiTheme="majorBidi" w:cstheme="majorBidi"/>
                <w:b/>
                <w:bCs/>
                <w:w w:val="105"/>
                <w:sz w:val="18"/>
                <w:lang w:val="kk-KZ"/>
              </w:rPr>
              <w:t xml:space="preserve"> </w:t>
            </w:r>
            <w:r w:rsidRPr="001467CC">
              <w:rPr>
                <w:rFonts w:asciiTheme="majorBidi" w:hAnsiTheme="majorBidi" w:cstheme="majorBidi"/>
                <w:b/>
                <w:bCs/>
                <w:w w:val="105"/>
                <w:sz w:val="18"/>
              </w:rPr>
              <w:t>(</w:t>
            </w:r>
            <w:r w:rsidR="00822B1E" w:rsidRPr="001467CC">
              <w:rPr>
                <w:rFonts w:asciiTheme="majorBidi" w:hAnsiTheme="majorBidi" w:cstheme="majorBidi"/>
                <w:b/>
                <w:bCs/>
                <w:w w:val="105"/>
                <w:sz w:val="18"/>
              </w:rPr>
              <w:t>%)</w:t>
            </w:r>
          </w:p>
        </w:tc>
      </w:tr>
      <w:tr w:rsidR="00822B1E" w:rsidRPr="005F577E" w14:paraId="4E6AC174" w14:textId="77777777" w:rsidTr="00080BD2">
        <w:trPr>
          <w:trHeight w:val="266"/>
        </w:trPr>
        <w:tc>
          <w:tcPr>
            <w:tcW w:w="993" w:type="dxa"/>
          </w:tcPr>
          <w:p w14:paraId="0B51A578" w14:textId="77777777" w:rsidR="00822B1E" w:rsidRPr="005F577E" w:rsidRDefault="00822B1E" w:rsidP="00080BD2">
            <w:pPr>
              <w:pStyle w:val="TableParagraph"/>
              <w:spacing w:before="33" w:line="213" w:lineRule="exact"/>
              <w:ind w:left="458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1.</w:t>
            </w:r>
          </w:p>
        </w:tc>
        <w:tc>
          <w:tcPr>
            <w:tcW w:w="4252" w:type="dxa"/>
          </w:tcPr>
          <w:p w14:paraId="5645B2F3" w14:textId="77777777" w:rsidR="00822B1E" w:rsidRPr="005F577E" w:rsidRDefault="00822B1E" w:rsidP="00080BD2">
            <w:pPr>
              <w:pStyle w:val="TableParagraph"/>
              <w:spacing w:before="33" w:line="213" w:lineRule="exact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Afghanistan</w:t>
            </w:r>
          </w:p>
        </w:tc>
        <w:tc>
          <w:tcPr>
            <w:tcW w:w="3969" w:type="dxa"/>
          </w:tcPr>
          <w:p w14:paraId="4AEF039F" w14:textId="77777777" w:rsidR="00822B1E" w:rsidRPr="005F577E" w:rsidRDefault="00822B1E" w:rsidP="00080BD2">
            <w:pPr>
              <w:pStyle w:val="TableParagraph"/>
              <w:spacing w:before="33" w:line="213" w:lineRule="exact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0.50</w:t>
            </w:r>
          </w:p>
        </w:tc>
      </w:tr>
      <w:tr w:rsidR="00822B1E" w:rsidRPr="005F577E" w14:paraId="547850CC" w14:textId="77777777" w:rsidTr="00080BD2">
        <w:trPr>
          <w:trHeight w:val="266"/>
        </w:trPr>
        <w:tc>
          <w:tcPr>
            <w:tcW w:w="993" w:type="dxa"/>
          </w:tcPr>
          <w:p w14:paraId="708C5F0C" w14:textId="77777777" w:rsidR="00822B1E" w:rsidRPr="005F577E" w:rsidRDefault="00822B1E" w:rsidP="00080BD2">
            <w:pPr>
              <w:pStyle w:val="TableParagraph"/>
              <w:ind w:left="458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2.</w:t>
            </w:r>
          </w:p>
        </w:tc>
        <w:tc>
          <w:tcPr>
            <w:tcW w:w="4252" w:type="dxa"/>
          </w:tcPr>
          <w:p w14:paraId="54273C61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Albania</w:t>
            </w:r>
          </w:p>
        </w:tc>
        <w:tc>
          <w:tcPr>
            <w:tcW w:w="3969" w:type="dxa"/>
          </w:tcPr>
          <w:p w14:paraId="00443A2C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0.50</w:t>
            </w:r>
          </w:p>
        </w:tc>
      </w:tr>
      <w:tr w:rsidR="00822B1E" w:rsidRPr="005F577E" w14:paraId="529453AE" w14:textId="77777777" w:rsidTr="00080BD2">
        <w:trPr>
          <w:trHeight w:val="267"/>
        </w:trPr>
        <w:tc>
          <w:tcPr>
            <w:tcW w:w="993" w:type="dxa"/>
          </w:tcPr>
          <w:p w14:paraId="26C07F66" w14:textId="77777777" w:rsidR="00822B1E" w:rsidRPr="005F577E" w:rsidRDefault="00822B1E" w:rsidP="00080BD2">
            <w:pPr>
              <w:pStyle w:val="TableParagraph"/>
              <w:ind w:left="458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3.</w:t>
            </w:r>
          </w:p>
        </w:tc>
        <w:tc>
          <w:tcPr>
            <w:tcW w:w="4252" w:type="dxa"/>
          </w:tcPr>
          <w:p w14:paraId="41E43363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Algeria</w:t>
            </w:r>
          </w:p>
        </w:tc>
        <w:tc>
          <w:tcPr>
            <w:tcW w:w="3969" w:type="dxa"/>
          </w:tcPr>
          <w:p w14:paraId="6A9433CE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3.00</w:t>
            </w:r>
          </w:p>
        </w:tc>
      </w:tr>
      <w:tr w:rsidR="00822B1E" w:rsidRPr="005F577E" w14:paraId="1EDB8576" w14:textId="77777777" w:rsidTr="00080BD2">
        <w:trPr>
          <w:trHeight w:val="264"/>
        </w:trPr>
        <w:tc>
          <w:tcPr>
            <w:tcW w:w="993" w:type="dxa"/>
          </w:tcPr>
          <w:p w14:paraId="1F5B1EFE" w14:textId="77777777" w:rsidR="00822B1E" w:rsidRPr="005F577E" w:rsidRDefault="00822B1E" w:rsidP="00080BD2">
            <w:pPr>
              <w:pStyle w:val="TableParagraph"/>
              <w:spacing w:before="5"/>
              <w:ind w:left="458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4.</w:t>
            </w:r>
          </w:p>
        </w:tc>
        <w:tc>
          <w:tcPr>
            <w:tcW w:w="4252" w:type="dxa"/>
          </w:tcPr>
          <w:p w14:paraId="05C0B584" w14:textId="77777777" w:rsidR="00822B1E" w:rsidRPr="005F577E" w:rsidRDefault="00822B1E" w:rsidP="00080BD2">
            <w:pPr>
              <w:pStyle w:val="TableParagraph"/>
              <w:spacing w:before="5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Azerbaijan</w:t>
            </w:r>
          </w:p>
        </w:tc>
        <w:tc>
          <w:tcPr>
            <w:tcW w:w="3969" w:type="dxa"/>
          </w:tcPr>
          <w:p w14:paraId="4D00481E" w14:textId="77777777" w:rsidR="00822B1E" w:rsidRPr="005F577E" w:rsidRDefault="00822B1E" w:rsidP="00080BD2">
            <w:pPr>
              <w:pStyle w:val="TableParagraph"/>
              <w:spacing w:before="5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1.00</w:t>
            </w:r>
          </w:p>
        </w:tc>
      </w:tr>
      <w:tr w:rsidR="00822B1E" w:rsidRPr="005F577E" w14:paraId="72097451" w14:textId="77777777" w:rsidTr="00080BD2">
        <w:trPr>
          <w:trHeight w:val="268"/>
        </w:trPr>
        <w:tc>
          <w:tcPr>
            <w:tcW w:w="993" w:type="dxa"/>
          </w:tcPr>
          <w:p w14:paraId="669BBC2F" w14:textId="77777777" w:rsidR="00822B1E" w:rsidRPr="005F577E" w:rsidRDefault="00822B1E" w:rsidP="00080BD2">
            <w:pPr>
              <w:pStyle w:val="TableParagraph"/>
              <w:ind w:left="458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5.</w:t>
            </w:r>
          </w:p>
        </w:tc>
        <w:tc>
          <w:tcPr>
            <w:tcW w:w="4252" w:type="dxa"/>
          </w:tcPr>
          <w:p w14:paraId="7F8F3960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Bahrain</w:t>
            </w:r>
          </w:p>
        </w:tc>
        <w:tc>
          <w:tcPr>
            <w:tcW w:w="3969" w:type="dxa"/>
          </w:tcPr>
          <w:p w14:paraId="34992411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1.00</w:t>
            </w:r>
          </w:p>
        </w:tc>
      </w:tr>
      <w:tr w:rsidR="00822B1E" w:rsidRPr="005F577E" w14:paraId="11784B93" w14:textId="77777777" w:rsidTr="00080BD2">
        <w:trPr>
          <w:trHeight w:val="264"/>
        </w:trPr>
        <w:tc>
          <w:tcPr>
            <w:tcW w:w="993" w:type="dxa"/>
          </w:tcPr>
          <w:p w14:paraId="6FC046F3" w14:textId="77777777" w:rsidR="00822B1E" w:rsidRPr="005F577E" w:rsidRDefault="00822B1E" w:rsidP="00080BD2">
            <w:pPr>
              <w:pStyle w:val="TableParagraph"/>
              <w:ind w:left="458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6.</w:t>
            </w:r>
          </w:p>
        </w:tc>
        <w:tc>
          <w:tcPr>
            <w:tcW w:w="4252" w:type="dxa"/>
          </w:tcPr>
          <w:p w14:paraId="3E6EDE79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Bangladesh</w:t>
            </w:r>
          </w:p>
        </w:tc>
        <w:tc>
          <w:tcPr>
            <w:tcW w:w="3969" w:type="dxa"/>
          </w:tcPr>
          <w:p w14:paraId="3E59AE16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1.00</w:t>
            </w:r>
          </w:p>
        </w:tc>
      </w:tr>
      <w:tr w:rsidR="00822B1E" w:rsidRPr="005F577E" w14:paraId="0F536B86" w14:textId="77777777" w:rsidTr="00080BD2">
        <w:trPr>
          <w:trHeight w:val="267"/>
        </w:trPr>
        <w:tc>
          <w:tcPr>
            <w:tcW w:w="993" w:type="dxa"/>
          </w:tcPr>
          <w:p w14:paraId="4EF8081D" w14:textId="77777777" w:rsidR="00822B1E" w:rsidRPr="005F577E" w:rsidRDefault="00822B1E" w:rsidP="00080BD2">
            <w:pPr>
              <w:pStyle w:val="TableParagraph"/>
              <w:spacing w:before="5"/>
              <w:ind w:left="458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7.</w:t>
            </w:r>
          </w:p>
        </w:tc>
        <w:tc>
          <w:tcPr>
            <w:tcW w:w="4252" w:type="dxa"/>
          </w:tcPr>
          <w:p w14:paraId="1C5C25D7" w14:textId="77777777" w:rsidR="00822B1E" w:rsidRPr="005F577E" w:rsidRDefault="00822B1E" w:rsidP="00080BD2">
            <w:pPr>
              <w:pStyle w:val="TableParagraph"/>
              <w:spacing w:before="5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Benin</w:t>
            </w:r>
          </w:p>
        </w:tc>
        <w:tc>
          <w:tcPr>
            <w:tcW w:w="3969" w:type="dxa"/>
          </w:tcPr>
          <w:p w14:paraId="162472C3" w14:textId="77777777" w:rsidR="00822B1E" w:rsidRPr="005F577E" w:rsidRDefault="00822B1E" w:rsidP="00080BD2">
            <w:pPr>
              <w:pStyle w:val="TableParagraph"/>
              <w:spacing w:before="5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0.50</w:t>
            </w:r>
          </w:p>
        </w:tc>
      </w:tr>
      <w:tr w:rsidR="00822B1E" w:rsidRPr="005F577E" w14:paraId="09867342" w14:textId="77777777" w:rsidTr="00080BD2">
        <w:trPr>
          <w:trHeight w:val="266"/>
        </w:trPr>
        <w:tc>
          <w:tcPr>
            <w:tcW w:w="993" w:type="dxa"/>
          </w:tcPr>
          <w:p w14:paraId="0E50AE80" w14:textId="77777777" w:rsidR="00822B1E" w:rsidRPr="005F577E" w:rsidRDefault="00822B1E" w:rsidP="00080BD2">
            <w:pPr>
              <w:pStyle w:val="TableParagraph"/>
              <w:ind w:left="458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8.</w:t>
            </w:r>
          </w:p>
        </w:tc>
        <w:tc>
          <w:tcPr>
            <w:tcW w:w="4252" w:type="dxa"/>
          </w:tcPr>
          <w:p w14:paraId="48432E87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Brunei</w:t>
            </w:r>
          </w:p>
        </w:tc>
        <w:tc>
          <w:tcPr>
            <w:tcW w:w="3969" w:type="dxa"/>
          </w:tcPr>
          <w:p w14:paraId="545CDC90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3.50</w:t>
            </w:r>
          </w:p>
        </w:tc>
      </w:tr>
      <w:tr w:rsidR="00822B1E" w:rsidRPr="005F577E" w14:paraId="22236E27" w14:textId="77777777" w:rsidTr="00080BD2">
        <w:trPr>
          <w:trHeight w:val="267"/>
        </w:trPr>
        <w:tc>
          <w:tcPr>
            <w:tcW w:w="993" w:type="dxa"/>
          </w:tcPr>
          <w:p w14:paraId="06005085" w14:textId="77777777" w:rsidR="00822B1E" w:rsidRPr="005F577E" w:rsidRDefault="00822B1E" w:rsidP="00080BD2">
            <w:pPr>
              <w:pStyle w:val="TableParagraph"/>
              <w:ind w:left="458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9.</w:t>
            </w:r>
          </w:p>
        </w:tc>
        <w:tc>
          <w:tcPr>
            <w:tcW w:w="4252" w:type="dxa"/>
          </w:tcPr>
          <w:p w14:paraId="551DB1DE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Burkina Faso</w:t>
            </w:r>
          </w:p>
        </w:tc>
        <w:tc>
          <w:tcPr>
            <w:tcW w:w="3969" w:type="dxa"/>
          </w:tcPr>
          <w:p w14:paraId="6F3D6A49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0.50</w:t>
            </w:r>
          </w:p>
        </w:tc>
      </w:tr>
      <w:tr w:rsidR="00822B1E" w:rsidRPr="005F577E" w14:paraId="4052B5A1" w14:textId="77777777" w:rsidTr="00080BD2">
        <w:trPr>
          <w:trHeight w:val="264"/>
        </w:trPr>
        <w:tc>
          <w:tcPr>
            <w:tcW w:w="993" w:type="dxa"/>
          </w:tcPr>
          <w:p w14:paraId="44459CEB" w14:textId="77777777" w:rsidR="00822B1E" w:rsidRPr="005F577E" w:rsidRDefault="00822B1E" w:rsidP="00080BD2">
            <w:pPr>
              <w:pStyle w:val="TableParagraph"/>
              <w:spacing w:before="5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10.</w:t>
            </w:r>
          </w:p>
        </w:tc>
        <w:tc>
          <w:tcPr>
            <w:tcW w:w="4252" w:type="dxa"/>
          </w:tcPr>
          <w:p w14:paraId="3DA1B98A" w14:textId="77777777" w:rsidR="00822B1E" w:rsidRPr="005F577E" w:rsidRDefault="00822B1E" w:rsidP="00080BD2">
            <w:pPr>
              <w:pStyle w:val="TableParagraph"/>
              <w:spacing w:before="5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Cameroon</w:t>
            </w:r>
          </w:p>
        </w:tc>
        <w:tc>
          <w:tcPr>
            <w:tcW w:w="3969" w:type="dxa"/>
          </w:tcPr>
          <w:p w14:paraId="0057B8A1" w14:textId="77777777" w:rsidR="00822B1E" w:rsidRPr="005F577E" w:rsidRDefault="00822B1E" w:rsidP="00080BD2">
            <w:pPr>
              <w:pStyle w:val="TableParagraph"/>
              <w:spacing w:before="5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0.50</w:t>
            </w:r>
          </w:p>
        </w:tc>
      </w:tr>
      <w:tr w:rsidR="00822B1E" w:rsidRPr="005F577E" w14:paraId="153F05F6" w14:textId="77777777" w:rsidTr="00080BD2">
        <w:trPr>
          <w:trHeight w:val="268"/>
        </w:trPr>
        <w:tc>
          <w:tcPr>
            <w:tcW w:w="993" w:type="dxa"/>
          </w:tcPr>
          <w:p w14:paraId="400EC3B9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11.</w:t>
            </w:r>
          </w:p>
        </w:tc>
        <w:tc>
          <w:tcPr>
            <w:tcW w:w="4252" w:type="dxa"/>
          </w:tcPr>
          <w:p w14:paraId="11775718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Chad</w:t>
            </w:r>
          </w:p>
        </w:tc>
        <w:tc>
          <w:tcPr>
            <w:tcW w:w="3969" w:type="dxa"/>
          </w:tcPr>
          <w:p w14:paraId="2A54E0C1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0.50</w:t>
            </w:r>
          </w:p>
        </w:tc>
      </w:tr>
      <w:tr w:rsidR="00822B1E" w:rsidRPr="005F577E" w14:paraId="6B603C56" w14:textId="77777777" w:rsidTr="00080BD2">
        <w:trPr>
          <w:trHeight w:val="264"/>
        </w:trPr>
        <w:tc>
          <w:tcPr>
            <w:tcW w:w="993" w:type="dxa"/>
          </w:tcPr>
          <w:p w14:paraId="2DD46A89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12.</w:t>
            </w:r>
          </w:p>
        </w:tc>
        <w:tc>
          <w:tcPr>
            <w:tcW w:w="4252" w:type="dxa"/>
          </w:tcPr>
          <w:p w14:paraId="4907DE23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Comoros</w:t>
            </w:r>
          </w:p>
        </w:tc>
        <w:tc>
          <w:tcPr>
            <w:tcW w:w="3969" w:type="dxa"/>
          </w:tcPr>
          <w:p w14:paraId="4DE1D2C9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0.50</w:t>
            </w:r>
          </w:p>
        </w:tc>
      </w:tr>
      <w:tr w:rsidR="00822B1E" w:rsidRPr="005F577E" w14:paraId="1BEEA119" w14:textId="77777777" w:rsidTr="00080BD2">
        <w:trPr>
          <w:trHeight w:val="267"/>
        </w:trPr>
        <w:tc>
          <w:tcPr>
            <w:tcW w:w="993" w:type="dxa"/>
          </w:tcPr>
          <w:p w14:paraId="65F7AED8" w14:textId="77777777" w:rsidR="00822B1E" w:rsidRPr="005F577E" w:rsidRDefault="00822B1E" w:rsidP="00080BD2">
            <w:pPr>
              <w:pStyle w:val="TableParagraph"/>
              <w:spacing w:before="5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13.</w:t>
            </w:r>
          </w:p>
        </w:tc>
        <w:tc>
          <w:tcPr>
            <w:tcW w:w="4252" w:type="dxa"/>
          </w:tcPr>
          <w:p w14:paraId="69FB7B31" w14:textId="77777777" w:rsidR="00822B1E" w:rsidRPr="005F577E" w:rsidRDefault="00822B1E" w:rsidP="00080BD2">
            <w:pPr>
              <w:pStyle w:val="TableParagraph"/>
              <w:spacing w:before="5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Djibouti</w:t>
            </w:r>
          </w:p>
        </w:tc>
        <w:tc>
          <w:tcPr>
            <w:tcW w:w="3969" w:type="dxa"/>
          </w:tcPr>
          <w:p w14:paraId="6FB20820" w14:textId="77777777" w:rsidR="00822B1E" w:rsidRPr="005F577E" w:rsidRDefault="00822B1E" w:rsidP="00080BD2">
            <w:pPr>
              <w:pStyle w:val="TableParagraph"/>
              <w:spacing w:before="5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0.50</w:t>
            </w:r>
          </w:p>
        </w:tc>
      </w:tr>
      <w:tr w:rsidR="00822B1E" w:rsidRPr="005F577E" w14:paraId="474968BB" w14:textId="77777777" w:rsidTr="00080BD2">
        <w:trPr>
          <w:trHeight w:val="266"/>
        </w:trPr>
        <w:tc>
          <w:tcPr>
            <w:tcW w:w="993" w:type="dxa"/>
          </w:tcPr>
          <w:p w14:paraId="2CA6FE18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14.</w:t>
            </w:r>
          </w:p>
        </w:tc>
        <w:tc>
          <w:tcPr>
            <w:tcW w:w="4252" w:type="dxa"/>
          </w:tcPr>
          <w:p w14:paraId="1D6EB989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Egypt</w:t>
            </w:r>
          </w:p>
        </w:tc>
        <w:tc>
          <w:tcPr>
            <w:tcW w:w="3969" w:type="dxa"/>
          </w:tcPr>
          <w:p w14:paraId="3BD075F1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2.00</w:t>
            </w:r>
          </w:p>
        </w:tc>
      </w:tr>
      <w:tr w:rsidR="00822B1E" w:rsidRPr="005F577E" w14:paraId="17F00039" w14:textId="77777777" w:rsidTr="00080BD2">
        <w:trPr>
          <w:trHeight w:val="266"/>
        </w:trPr>
        <w:tc>
          <w:tcPr>
            <w:tcW w:w="993" w:type="dxa"/>
          </w:tcPr>
          <w:p w14:paraId="6643A107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15.</w:t>
            </w:r>
          </w:p>
        </w:tc>
        <w:tc>
          <w:tcPr>
            <w:tcW w:w="4252" w:type="dxa"/>
          </w:tcPr>
          <w:p w14:paraId="4B85743E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Gabon</w:t>
            </w:r>
          </w:p>
        </w:tc>
        <w:tc>
          <w:tcPr>
            <w:tcW w:w="3969" w:type="dxa"/>
          </w:tcPr>
          <w:p w14:paraId="59C93B2D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1.00</w:t>
            </w:r>
          </w:p>
        </w:tc>
      </w:tr>
      <w:tr w:rsidR="00822B1E" w:rsidRPr="005F577E" w14:paraId="53C03F91" w14:textId="77777777" w:rsidTr="00080BD2">
        <w:trPr>
          <w:trHeight w:val="266"/>
        </w:trPr>
        <w:tc>
          <w:tcPr>
            <w:tcW w:w="993" w:type="dxa"/>
          </w:tcPr>
          <w:p w14:paraId="6D453A22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16.</w:t>
            </w:r>
          </w:p>
        </w:tc>
        <w:tc>
          <w:tcPr>
            <w:tcW w:w="4252" w:type="dxa"/>
          </w:tcPr>
          <w:p w14:paraId="13D429BC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Gambia</w:t>
            </w:r>
          </w:p>
        </w:tc>
        <w:tc>
          <w:tcPr>
            <w:tcW w:w="3969" w:type="dxa"/>
          </w:tcPr>
          <w:p w14:paraId="4D51BCAE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0.50</w:t>
            </w:r>
          </w:p>
        </w:tc>
      </w:tr>
      <w:tr w:rsidR="00822B1E" w:rsidRPr="005F577E" w14:paraId="78004E69" w14:textId="77777777" w:rsidTr="00080BD2">
        <w:trPr>
          <w:trHeight w:val="268"/>
        </w:trPr>
        <w:tc>
          <w:tcPr>
            <w:tcW w:w="993" w:type="dxa"/>
          </w:tcPr>
          <w:p w14:paraId="11538E25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17.</w:t>
            </w:r>
          </w:p>
        </w:tc>
        <w:tc>
          <w:tcPr>
            <w:tcW w:w="4252" w:type="dxa"/>
          </w:tcPr>
          <w:p w14:paraId="4D80ED91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Guinea</w:t>
            </w:r>
          </w:p>
        </w:tc>
        <w:tc>
          <w:tcPr>
            <w:tcW w:w="3969" w:type="dxa"/>
          </w:tcPr>
          <w:p w14:paraId="6626C27E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0.50</w:t>
            </w:r>
          </w:p>
        </w:tc>
      </w:tr>
      <w:tr w:rsidR="00822B1E" w:rsidRPr="005F577E" w14:paraId="686F1FE6" w14:textId="77777777" w:rsidTr="00080BD2">
        <w:trPr>
          <w:trHeight w:val="263"/>
        </w:trPr>
        <w:tc>
          <w:tcPr>
            <w:tcW w:w="993" w:type="dxa"/>
          </w:tcPr>
          <w:p w14:paraId="3ECD0EE7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18.</w:t>
            </w:r>
          </w:p>
        </w:tc>
        <w:tc>
          <w:tcPr>
            <w:tcW w:w="4252" w:type="dxa"/>
          </w:tcPr>
          <w:p w14:paraId="5BC17807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Guinea Bissau</w:t>
            </w:r>
          </w:p>
        </w:tc>
        <w:tc>
          <w:tcPr>
            <w:tcW w:w="3969" w:type="dxa"/>
          </w:tcPr>
          <w:p w14:paraId="282682A8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0.50</w:t>
            </w:r>
          </w:p>
        </w:tc>
      </w:tr>
      <w:tr w:rsidR="00822B1E" w:rsidRPr="005F577E" w14:paraId="352FD366" w14:textId="77777777" w:rsidTr="00080BD2">
        <w:trPr>
          <w:trHeight w:val="268"/>
        </w:trPr>
        <w:tc>
          <w:tcPr>
            <w:tcW w:w="993" w:type="dxa"/>
          </w:tcPr>
          <w:p w14:paraId="0A27B597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19.</w:t>
            </w:r>
          </w:p>
        </w:tc>
        <w:tc>
          <w:tcPr>
            <w:tcW w:w="4252" w:type="dxa"/>
          </w:tcPr>
          <w:p w14:paraId="306E1F13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Guyana</w:t>
            </w:r>
          </w:p>
        </w:tc>
        <w:tc>
          <w:tcPr>
            <w:tcW w:w="3969" w:type="dxa"/>
          </w:tcPr>
          <w:p w14:paraId="0BAADEBE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0.50</w:t>
            </w:r>
          </w:p>
        </w:tc>
      </w:tr>
      <w:tr w:rsidR="00822B1E" w:rsidRPr="005F577E" w14:paraId="299AC1A1" w14:textId="77777777" w:rsidTr="00080BD2">
        <w:trPr>
          <w:trHeight w:val="266"/>
        </w:trPr>
        <w:tc>
          <w:tcPr>
            <w:tcW w:w="993" w:type="dxa"/>
          </w:tcPr>
          <w:p w14:paraId="06CDC8A0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20.</w:t>
            </w:r>
          </w:p>
        </w:tc>
        <w:tc>
          <w:tcPr>
            <w:tcW w:w="4252" w:type="dxa"/>
          </w:tcPr>
          <w:p w14:paraId="1F964A10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Indonesia</w:t>
            </w:r>
          </w:p>
        </w:tc>
        <w:tc>
          <w:tcPr>
            <w:tcW w:w="3969" w:type="dxa"/>
          </w:tcPr>
          <w:p w14:paraId="63A41A88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3.50</w:t>
            </w:r>
          </w:p>
        </w:tc>
      </w:tr>
      <w:tr w:rsidR="00822B1E" w:rsidRPr="005F577E" w14:paraId="0D94EC80" w14:textId="77777777" w:rsidTr="00080BD2">
        <w:trPr>
          <w:trHeight w:val="266"/>
        </w:trPr>
        <w:tc>
          <w:tcPr>
            <w:tcW w:w="993" w:type="dxa"/>
          </w:tcPr>
          <w:p w14:paraId="3102F862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21.</w:t>
            </w:r>
          </w:p>
        </w:tc>
        <w:tc>
          <w:tcPr>
            <w:tcW w:w="4252" w:type="dxa"/>
          </w:tcPr>
          <w:p w14:paraId="59FF9899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Iran</w:t>
            </w:r>
          </w:p>
        </w:tc>
        <w:tc>
          <w:tcPr>
            <w:tcW w:w="3969" w:type="dxa"/>
          </w:tcPr>
          <w:p w14:paraId="3D8E0CFC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5.50</w:t>
            </w:r>
          </w:p>
        </w:tc>
      </w:tr>
      <w:tr w:rsidR="00822B1E" w:rsidRPr="005F577E" w14:paraId="591A0A0E" w14:textId="77777777" w:rsidTr="00080BD2">
        <w:trPr>
          <w:trHeight w:val="266"/>
        </w:trPr>
        <w:tc>
          <w:tcPr>
            <w:tcW w:w="993" w:type="dxa"/>
          </w:tcPr>
          <w:p w14:paraId="2541B2E2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22.</w:t>
            </w:r>
          </w:p>
        </w:tc>
        <w:tc>
          <w:tcPr>
            <w:tcW w:w="4252" w:type="dxa"/>
          </w:tcPr>
          <w:p w14:paraId="64784D69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Iraq</w:t>
            </w:r>
          </w:p>
        </w:tc>
        <w:tc>
          <w:tcPr>
            <w:tcW w:w="3969" w:type="dxa"/>
          </w:tcPr>
          <w:p w14:paraId="763E8FA8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2.00</w:t>
            </w:r>
          </w:p>
        </w:tc>
      </w:tr>
      <w:tr w:rsidR="00822B1E" w:rsidRPr="005F577E" w14:paraId="00740EAB" w14:textId="77777777" w:rsidTr="00080BD2">
        <w:trPr>
          <w:trHeight w:val="267"/>
        </w:trPr>
        <w:tc>
          <w:tcPr>
            <w:tcW w:w="993" w:type="dxa"/>
          </w:tcPr>
          <w:p w14:paraId="570095D3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23.</w:t>
            </w:r>
          </w:p>
        </w:tc>
        <w:tc>
          <w:tcPr>
            <w:tcW w:w="4252" w:type="dxa"/>
          </w:tcPr>
          <w:p w14:paraId="4C809838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Ivory Coast</w:t>
            </w:r>
          </w:p>
        </w:tc>
        <w:tc>
          <w:tcPr>
            <w:tcW w:w="3969" w:type="dxa"/>
          </w:tcPr>
          <w:p w14:paraId="7C5C6AA4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1.00</w:t>
            </w:r>
          </w:p>
        </w:tc>
      </w:tr>
      <w:tr w:rsidR="00822B1E" w:rsidRPr="005F577E" w14:paraId="1CE84F03" w14:textId="77777777" w:rsidTr="00080BD2">
        <w:trPr>
          <w:trHeight w:val="267"/>
        </w:trPr>
        <w:tc>
          <w:tcPr>
            <w:tcW w:w="993" w:type="dxa"/>
          </w:tcPr>
          <w:p w14:paraId="7F63579C" w14:textId="77777777" w:rsidR="00822B1E" w:rsidRPr="005F577E" w:rsidRDefault="00822B1E" w:rsidP="00080BD2">
            <w:pPr>
              <w:pStyle w:val="TableParagraph"/>
              <w:spacing w:before="5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lastRenderedPageBreak/>
              <w:t>24.</w:t>
            </w:r>
          </w:p>
        </w:tc>
        <w:tc>
          <w:tcPr>
            <w:tcW w:w="4252" w:type="dxa"/>
          </w:tcPr>
          <w:p w14:paraId="2125034C" w14:textId="1DDA78BE" w:rsidR="00822B1E" w:rsidRPr="005F577E" w:rsidRDefault="005D085A" w:rsidP="00080BD2">
            <w:pPr>
              <w:pStyle w:val="TableParagraph"/>
              <w:spacing w:before="5"/>
              <w:ind w:left="100"/>
              <w:rPr>
                <w:rFonts w:asciiTheme="majorBidi" w:hAnsiTheme="majorBidi" w:cstheme="majorBidi"/>
                <w:sz w:val="18"/>
              </w:rPr>
            </w:pPr>
            <w:r>
              <w:rPr>
                <w:rFonts w:asciiTheme="majorBidi" w:hAnsiTheme="majorBidi" w:cstheme="majorBidi"/>
                <w:w w:val="105"/>
                <w:sz w:val="18"/>
              </w:rPr>
              <w:t>Libya</w:t>
            </w:r>
          </w:p>
        </w:tc>
        <w:tc>
          <w:tcPr>
            <w:tcW w:w="3969" w:type="dxa"/>
          </w:tcPr>
          <w:p w14:paraId="23FC30C9" w14:textId="77777777" w:rsidR="00822B1E" w:rsidRPr="005F577E" w:rsidRDefault="00822B1E" w:rsidP="00080BD2">
            <w:pPr>
              <w:pStyle w:val="TableParagraph"/>
              <w:spacing w:before="5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6.00</w:t>
            </w:r>
          </w:p>
        </w:tc>
      </w:tr>
      <w:tr w:rsidR="00822B1E" w:rsidRPr="005F577E" w14:paraId="77003000" w14:textId="77777777" w:rsidTr="00080BD2">
        <w:trPr>
          <w:trHeight w:val="264"/>
        </w:trPr>
        <w:tc>
          <w:tcPr>
            <w:tcW w:w="993" w:type="dxa"/>
          </w:tcPr>
          <w:p w14:paraId="172BDE37" w14:textId="77777777" w:rsidR="00822B1E" w:rsidRPr="005F577E" w:rsidRDefault="00822B1E" w:rsidP="00080BD2">
            <w:pPr>
              <w:pStyle w:val="TableParagraph"/>
              <w:spacing w:before="5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25.</w:t>
            </w:r>
          </w:p>
        </w:tc>
        <w:tc>
          <w:tcPr>
            <w:tcW w:w="4252" w:type="dxa"/>
          </w:tcPr>
          <w:p w14:paraId="08F89955" w14:textId="77777777" w:rsidR="00822B1E" w:rsidRPr="005F577E" w:rsidRDefault="00822B1E" w:rsidP="00080BD2">
            <w:pPr>
              <w:pStyle w:val="TableParagraph"/>
              <w:spacing w:before="5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Jordan</w:t>
            </w:r>
            <w:bookmarkStart w:id="1" w:name="_GoBack"/>
            <w:bookmarkEnd w:id="1"/>
          </w:p>
        </w:tc>
        <w:tc>
          <w:tcPr>
            <w:tcW w:w="3969" w:type="dxa"/>
          </w:tcPr>
          <w:p w14:paraId="441F11F1" w14:textId="77777777" w:rsidR="00822B1E" w:rsidRPr="005F577E" w:rsidRDefault="00822B1E" w:rsidP="00080BD2">
            <w:pPr>
              <w:pStyle w:val="TableParagraph"/>
              <w:spacing w:before="5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1.00</w:t>
            </w:r>
          </w:p>
        </w:tc>
      </w:tr>
      <w:tr w:rsidR="00822B1E" w:rsidRPr="005F577E" w14:paraId="663F106C" w14:textId="77777777" w:rsidTr="00080BD2">
        <w:trPr>
          <w:trHeight w:val="268"/>
        </w:trPr>
        <w:tc>
          <w:tcPr>
            <w:tcW w:w="993" w:type="dxa"/>
          </w:tcPr>
          <w:p w14:paraId="5D3E6DF4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26.</w:t>
            </w:r>
          </w:p>
        </w:tc>
        <w:tc>
          <w:tcPr>
            <w:tcW w:w="4252" w:type="dxa"/>
          </w:tcPr>
          <w:p w14:paraId="3F0D1084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Kazakhstan</w:t>
            </w:r>
          </w:p>
        </w:tc>
        <w:tc>
          <w:tcPr>
            <w:tcW w:w="3969" w:type="dxa"/>
          </w:tcPr>
          <w:p w14:paraId="733F80DA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1.00</w:t>
            </w:r>
          </w:p>
        </w:tc>
      </w:tr>
      <w:tr w:rsidR="00822B1E" w:rsidRPr="005F577E" w14:paraId="653A3A55" w14:textId="77777777" w:rsidTr="00080BD2">
        <w:trPr>
          <w:trHeight w:val="264"/>
        </w:trPr>
        <w:tc>
          <w:tcPr>
            <w:tcW w:w="993" w:type="dxa"/>
          </w:tcPr>
          <w:p w14:paraId="1C65E85C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27.</w:t>
            </w:r>
          </w:p>
        </w:tc>
        <w:tc>
          <w:tcPr>
            <w:tcW w:w="4252" w:type="dxa"/>
          </w:tcPr>
          <w:p w14:paraId="0C8FE532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Kuwait</w:t>
            </w:r>
          </w:p>
        </w:tc>
        <w:tc>
          <w:tcPr>
            <w:tcW w:w="3969" w:type="dxa"/>
          </w:tcPr>
          <w:p w14:paraId="0758657E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9.00</w:t>
            </w:r>
          </w:p>
        </w:tc>
      </w:tr>
      <w:tr w:rsidR="00822B1E" w:rsidRPr="005F577E" w14:paraId="0145A549" w14:textId="77777777" w:rsidTr="00080BD2">
        <w:trPr>
          <w:trHeight w:val="267"/>
        </w:trPr>
        <w:tc>
          <w:tcPr>
            <w:tcW w:w="993" w:type="dxa"/>
          </w:tcPr>
          <w:p w14:paraId="05DCCB7D" w14:textId="77777777" w:rsidR="00822B1E" w:rsidRPr="005F577E" w:rsidRDefault="00822B1E" w:rsidP="00080BD2">
            <w:pPr>
              <w:pStyle w:val="TableParagraph"/>
              <w:spacing w:before="5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28.</w:t>
            </w:r>
          </w:p>
        </w:tc>
        <w:tc>
          <w:tcPr>
            <w:tcW w:w="4252" w:type="dxa"/>
          </w:tcPr>
          <w:p w14:paraId="02773083" w14:textId="77777777" w:rsidR="00822B1E" w:rsidRPr="005F577E" w:rsidRDefault="00822B1E" w:rsidP="00080BD2">
            <w:pPr>
              <w:pStyle w:val="TableParagraph"/>
              <w:spacing w:before="5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Kyrgyzstan</w:t>
            </w:r>
          </w:p>
        </w:tc>
        <w:tc>
          <w:tcPr>
            <w:tcW w:w="3969" w:type="dxa"/>
          </w:tcPr>
          <w:p w14:paraId="318CCA9D" w14:textId="77777777" w:rsidR="00822B1E" w:rsidRPr="005F577E" w:rsidRDefault="00822B1E" w:rsidP="00080BD2">
            <w:pPr>
              <w:pStyle w:val="TableParagraph"/>
              <w:spacing w:before="5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0.50</w:t>
            </w:r>
          </w:p>
        </w:tc>
      </w:tr>
      <w:tr w:rsidR="00822B1E" w:rsidRPr="005F577E" w14:paraId="43C0335B" w14:textId="77777777" w:rsidTr="00080BD2">
        <w:trPr>
          <w:trHeight w:val="266"/>
        </w:trPr>
        <w:tc>
          <w:tcPr>
            <w:tcW w:w="993" w:type="dxa"/>
          </w:tcPr>
          <w:p w14:paraId="67E28722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29.</w:t>
            </w:r>
          </w:p>
        </w:tc>
        <w:tc>
          <w:tcPr>
            <w:tcW w:w="4252" w:type="dxa"/>
          </w:tcPr>
          <w:p w14:paraId="7867043B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Lebanon</w:t>
            </w:r>
          </w:p>
        </w:tc>
        <w:tc>
          <w:tcPr>
            <w:tcW w:w="3969" w:type="dxa"/>
          </w:tcPr>
          <w:p w14:paraId="231A51C8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1.00</w:t>
            </w:r>
          </w:p>
        </w:tc>
      </w:tr>
      <w:tr w:rsidR="00822B1E" w:rsidRPr="005F577E" w14:paraId="2F6BF49B" w14:textId="77777777" w:rsidTr="00080BD2">
        <w:trPr>
          <w:trHeight w:val="266"/>
        </w:trPr>
        <w:tc>
          <w:tcPr>
            <w:tcW w:w="993" w:type="dxa"/>
          </w:tcPr>
          <w:p w14:paraId="3F7F11C2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30.</w:t>
            </w:r>
          </w:p>
        </w:tc>
        <w:tc>
          <w:tcPr>
            <w:tcW w:w="4252" w:type="dxa"/>
          </w:tcPr>
          <w:p w14:paraId="08D9284E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Malaysia</w:t>
            </w:r>
          </w:p>
        </w:tc>
        <w:tc>
          <w:tcPr>
            <w:tcW w:w="3969" w:type="dxa"/>
          </w:tcPr>
          <w:p w14:paraId="0DEBF03C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5.00</w:t>
            </w:r>
          </w:p>
        </w:tc>
      </w:tr>
      <w:tr w:rsidR="00822B1E" w:rsidRPr="005F577E" w14:paraId="48E3700C" w14:textId="77777777" w:rsidTr="00080BD2">
        <w:trPr>
          <w:trHeight w:val="266"/>
        </w:trPr>
        <w:tc>
          <w:tcPr>
            <w:tcW w:w="993" w:type="dxa"/>
          </w:tcPr>
          <w:p w14:paraId="5B93AABC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31.</w:t>
            </w:r>
          </w:p>
        </w:tc>
        <w:tc>
          <w:tcPr>
            <w:tcW w:w="4252" w:type="dxa"/>
          </w:tcPr>
          <w:p w14:paraId="4B09D2A0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Maldives</w:t>
            </w:r>
          </w:p>
        </w:tc>
        <w:tc>
          <w:tcPr>
            <w:tcW w:w="3969" w:type="dxa"/>
          </w:tcPr>
          <w:p w14:paraId="52E22648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0.50</w:t>
            </w:r>
          </w:p>
        </w:tc>
      </w:tr>
      <w:tr w:rsidR="00822B1E" w:rsidRPr="005F577E" w14:paraId="1FEC194A" w14:textId="77777777" w:rsidTr="00080BD2">
        <w:trPr>
          <w:trHeight w:val="268"/>
        </w:trPr>
        <w:tc>
          <w:tcPr>
            <w:tcW w:w="993" w:type="dxa"/>
          </w:tcPr>
          <w:p w14:paraId="584E58AB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32.</w:t>
            </w:r>
          </w:p>
        </w:tc>
        <w:tc>
          <w:tcPr>
            <w:tcW w:w="4252" w:type="dxa"/>
          </w:tcPr>
          <w:p w14:paraId="50AC8FEE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Mali</w:t>
            </w:r>
          </w:p>
        </w:tc>
        <w:tc>
          <w:tcPr>
            <w:tcW w:w="3969" w:type="dxa"/>
          </w:tcPr>
          <w:p w14:paraId="071A8850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0.50</w:t>
            </w:r>
          </w:p>
        </w:tc>
      </w:tr>
      <w:tr w:rsidR="00822B1E" w:rsidRPr="005F577E" w14:paraId="367C470E" w14:textId="77777777" w:rsidTr="00080BD2">
        <w:trPr>
          <w:trHeight w:val="263"/>
        </w:trPr>
        <w:tc>
          <w:tcPr>
            <w:tcW w:w="993" w:type="dxa"/>
          </w:tcPr>
          <w:p w14:paraId="3F92F683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33.</w:t>
            </w:r>
          </w:p>
        </w:tc>
        <w:tc>
          <w:tcPr>
            <w:tcW w:w="4252" w:type="dxa"/>
          </w:tcPr>
          <w:p w14:paraId="0407D623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Mauritania</w:t>
            </w:r>
          </w:p>
        </w:tc>
        <w:tc>
          <w:tcPr>
            <w:tcW w:w="3969" w:type="dxa"/>
          </w:tcPr>
          <w:p w14:paraId="3BAEA853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0.50</w:t>
            </w:r>
          </w:p>
        </w:tc>
      </w:tr>
      <w:tr w:rsidR="00822B1E" w:rsidRPr="005F577E" w14:paraId="67D59D31" w14:textId="77777777" w:rsidTr="00080BD2">
        <w:trPr>
          <w:trHeight w:val="268"/>
        </w:trPr>
        <w:tc>
          <w:tcPr>
            <w:tcW w:w="993" w:type="dxa"/>
          </w:tcPr>
          <w:p w14:paraId="58BEA1D3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34.</w:t>
            </w:r>
          </w:p>
        </w:tc>
        <w:tc>
          <w:tcPr>
            <w:tcW w:w="4252" w:type="dxa"/>
          </w:tcPr>
          <w:p w14:paraId="24530F45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Morocco</w:t>
            </w:r>
          </w:p>
        </w:tc>
        <w:tc>
          <w:tcPr>
            <w:tcW w:w="3969" w:type="dxa"/>
          </w:tcPr>
          <w:p w14:paraId="217D87F6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2.00</w:t>
            </w:r>
          </w:p>
        </w:tc>
      </w:tr>
      <w:tr w:rsidR="00822B1E" w:rsidRPr="005F577E" w14:paraId="75BB96AE" w14:textId="77777777" w:rsidTr="00080BD2">
        <w:trPr>
          <w:trHeight w:val="264"/>
        </w:trPr>
        <w:tc>
          <w:tcPr>
            <w:tcW w:w="993" w:type="dxa"/>
          </w:tcPr>
          <w:p w14:paraId="08FC3CD1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35.</w:t>
            </w:r>
          </w:p>
        </w:tc>
        <w:tc>
          <w:tcPr>
            <w:tcW w:w="4252" w:type="dxa"/>
          </w:tcPr>
          <w:p w14:paraId="4FB5D380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Mozambique</w:t>
            </w:r>
          </w:p>
        </w:tc>
        <w:tc>
          <w:tcPr>
            <w:tcW w:w="3969" w:type="dxa"/>
          </w:tcPr>
          <w:p w14:paraId="0D7FAA79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0.50</w:t>
            </w:r>
          </w:p>
        </w:tc>
      </w:tr>
      <w:tr w:rsidR="00822B1E" w:rsidRPr="005F577E" w14:paraId="03802FA2" w14:textId="77777777" w:rsidTr="00080BD2">
        <w:trPr>
          <w:trHeight w:val="267"/>
        </w:trPr>
        <w:tc>
          <w:tcPr>
            <w:tcW w:w="993" w:type="dxa"/>
          </w:tcPr>
          <w:p w14:paraId="3890904A" w14:textId="77777777" w:rsidR="00822B1E" w:rsidRPr="005F577E" w:rsidRDefault="00822B1E" w:rsidP="00080BD2">
            <w:pPr>
              <w:pStyle w:val="TableParagraph"/>
              <w:spacing w:before="5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36.</w:t>
            </w:r>
          </w:p>
        </w:tc>
        <w:tc>
          <w:tcPr>
            <w:tcW w:w="4252" w:type="dxa"/>
          </w:tcPr>
          <w:p w14:paraId="1CFC431F" w14:textId="77777777" w:rsidR="00822B1E" w:rsidRPr="005F577E" w:rsidRDefault="00822B1E" w:rsidP="00080BD2">
            <w:pPr>
              <w:pStyle w:val="TableParagraph"/>
              <w:spacing w:before="5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Niger</w:t>
            </w:r>
          </w:p>
        </w:tc>
        <w:tc>
          <w:tcPr>
            <w:tcW w:w="3969" w:type="dxa"/>
          </w:tcPr>
          <w:p w14:paraId="14A7C6BE" w14:textId="77777777" w:rsidR="00822B1E" w:rsidRPr="005F577E" w:rsidRDefault="00822B1E" w:rsidP="00080BD2">
            <w:pPr>
              <w:pStyle w:val="TableParagraph"/>
              <w:spacing w:before="5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0.50</w:t>
            </w:r>
          </w:p>
        </w:tc>
      </w:tr>
      <w:tr w:rsidR="00822B1E" w:rsidRPr="005F577E" w14:paraId="63C0AF41" w14:textId="77777777" w:rsidTr="00080BD2">
        <w:trPr>
          <w:trHeight w:val="266"/>
        </w:trPr>
        <w:tc>
          <w:tcPr>
            <w:tcW w:w="993" w:type="dxa"/>
          </w:tcPr>
          <w:p w14:paraId="67B00DB3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37.</w:t>
            </w:r>
          </w:p>
        </w:tc>
        <w:tc>
          <w:tcPr>
            <w:tcW w:w="4252" w:type="dxa"/>
          </w:tcPr>
          <w:p w14:paraId="680A808A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Nigeria</w:t>
            </w:r>
          </w:p>
        </w:tc>
        <w:tc>
          <w:tcPr>
            <w:tcW w:w="3969" w:type="dxa"/>
          </w:tcPr>
          <w:p w14:paraId="75F21947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1.50</w:t>
            </w:r>
          </w:p>
        </w:tc>
      </w:tr>
      <w:tr w:rsidR="00822B1E" w:rsidRPr="005F577E" w14:paraId="4818E231" w14:textId="77777777" w:rsidTr="00080BD2">
        <w:trPr>
          <w:trHeight w:val="267"/>
        </w:trPr>
        <w:tc>
          <w:tcPr>
            <w:tcW w:w="993" w:type="dxa"/>
          </w:tcPr>
          <w:p w14:paraId="72103131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38.</w:t>
            </w:r>
          </w:p>
        </w:tc>
        <w:tc>
          <w:tcPr>
            <w:tcW w:w="4252" w:type="dxa"/>
          </w:tcPr>
          <w:p w14:paraId="723C2A2C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Oman</w:t>
            </w:r>
          </w:p>
        </w:tc>
        <w:tc>
          <w:tcPr>
            <w:tcW w:w="3969" w:type="dxa"/>
          </w:tcPr>
          <w:p w14:paraId="092AC01E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2.00</w:t>
            </w:r>
          </w:p>
        </w:tc>
      </w:tr>
      <w:tr w:rsidR="00822B1E" w:rsidRPr="005F577E" w14:paraId="6A83F73D" w14:textId="77777777" w:rsidTr="00080BD2">
        <w:trPr>
          <w:trHeight w:val="264"/>
        </w:trPr>
        <w:tc>
          <w:tcPr>
            <w:tcW w:w="993" w:type="dxa"/>
          </w:tcPr>
          <w:p w14:paraId="7DAA3A7A" w14:textId="77777777" w:rsidR="00822B1E" w:rsidRPr="005F577E" w:rsidRDefault="00822B1E" w:rsidP="00080BD2">
            <w:pPr>
              <w:pStyle w:val="TableParagraph"/>
              <w:spacing w:before="5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39.</w:t>
            </w:r>
          </w:p>
        </w:tc>
        <w:tc>
          <w:tcPr>
            <w:tcW w:w="4252" w:type="dxa"/>
          </w:tcPr>
          <w:p w14:paraId="069261DF" w14:textId="77777777" w:rsidR="00822B1E" w:rsidRPr="005F577E" w:rsidRDefault="00822B1E" w:rsidP="00080BD2">
            <w:pPr>
              <w:pStyle w:val="TableParagraph"/>
              <w:spacing w:before="5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Pakistan</w:t>
            </w:r>
          </w:p>
        </w:tc>
        <w:tc>
          <w:tcPr>
            <w:tcW w:w="3969" w:type="dxa"/>
          </w:tcPr>
          <w:p w14:paraId="38C14BC1" w14:textId="77777777" w:rsidR="00822B1E" w:rsidRPr="005F577E" w:rsidRDefault="00822B1E" w:rsidP="00080BD2">
            <w:pPr>
              <w:pStyle w:val="TableParagraph"/>
              <w:spacing w:before="5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2.00</w:t>
            </w:r>
          </w:p>
        </w:tc>
      </w:tr>
      <w:tr w:rsidR="00822B1E" w:rsidRPr="005F577E" w14:paraId="6FA0915F" w14:textId="77777777" w:rsidTr="00080BD2">
        <w:trPr>
          <w:trHeight w:val="268"/>
        </w:trPr>
        <w:tc>
          <w:tcPr>
            <w:tcW w:w="993" w:type="dxa"/>
          </w:tcPr>
          <w:p w14:paraId="63B0CDFA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40.</w:t>
            </w:r>
          </w:p>
        </w:tc>
        <w:tc>
          <w:tcPr>
            <w:tcW w:w="4252" w:type="dxa"/>
          </w:tcPr>
          <w:p w14:paraId="10DAE277" w14:textId="38312190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 xml:space="preserve">Palestine </w:t>
            </w:r>
          </w:p>
        </w:tc>
        <w:tc>
          <w:tcPr>
            <w:tcW w:w="3969" w:type="dxa"/>
          </w:tcPr>
          <w:p w14:paraId="382E9F43" w14:textId="77777777" w:rsidR="00822B1E" w:rsidRPr="005F577E" w:rsidRDefault="00822B1E" w:rsidP="00080BD2">
            <w:pPr>
              <w:pStyle w:val="TableParagraph"/>
              <w:spacing w:before="0"/>
              <w:ind w:left="0"/>
              <w:rPr>
                <w:rFonts w:asciiTheme="majorBidi" w:hAnsiTheme="majorBidi" w:cstheme="majorBidi"/>
                <w:sz w:val="18"/>
              </w:rPr>
            </w:pPr>
          </w:p>
        </w:tc>
      </w:tr>
      <w:tr w:rsidR="00822B1E" w:rsidRPr="005F577E" w14:paraId="17F4C6A4" w14:textId="77777777" w:rsidTr="00080BD2">
        <w:trPr>
          <w:trHeight w:val="264"/>
        </w:trPr>
        <w:tc>
          <w:tcPr>
            <w:tcW w:w="993" w:type="dxa"/>
          </w:tcPr>
          <w:p w14:paraId="7DF5E703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41.</w:t>
            </w:r>
          </w:p>
        </w:tc>
        <w:tc>
          <w:tcPr>
            <w:tcW w:w="4252" w:type="dxa"/>
          </w:tcPr>
          <w:p w14:paraId="5DAC67E2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Qatar</w:t>
            </w:r>
          </w:p>
        </w:tc>
        <w:tc>
          <w:tcPr>
            <w:tcW w:w="3969" w:type="dxa"/>
          </w:tcPr>
          <w:p w14:paraId="3A1A2471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3.50</w:t>
            </w:r>
          </w:p>
        </w:tc>
      </w:tr>
      <w:tr w:rsidR="00822B1E" w:rsidRPr="005F577E" w14:paraId="7202843E" w14:textId="77777777" w:rsidTr="00080BD2">
        <w:trPr>
          <w:trHeight w:val="267"/>
        </w:trPr>
        <w:tc>
          <w:tcPr>
            <w:tcW w:w="993" w:type="dxa"/>
          </w:tcPr>
          <w:p w14:paraId="24752EE9" w14:textId="77777777" w:rsidR="00822B1E" w:rsidRPr="005F577E" w:rsidRDefault="00822B1E" w:rsidP="00080BD2">
            <w:pPr>
              <w:pStyle w:val="TableParagraph"/>
              <w:spacing w:before="5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42.</w:t>
            </w:r>
          </w:p>
        </w:tc>
        <w:tc>
          <w:tcPr>
            <w:tcW w:w="4252" w:type="dxa"/>
          </w:tcPr>
          <w:p w14:paraId="3E95765D" w14:textId="77777777" w:rsidR="00822B1E" w:rsidRPr="005F577E" w:rsidRDefault="00822B1E" w:rsidP="00080BD2">
            <w:pPr>
              <w:pStyle w:val="TableParagraph"/>
              <w:spacing w:before="5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Saudi Arabia</w:t>
            </w:r>
          </w:p>
        </w:tc>
        <w:tc>
          <w:tcPr>
            <w:tcW w:w="3969" w:type="dxa"/>
          </w:tcPr>
          <w:p w14:paraId="06EA9FD6" w14:textId="77777777" w:rsidR="00822B1E" w:rsidRPr="005F577E" w:rsidRDefault="00822B1E" w:rsidP="00080BD2">
            <w:pPr>
              <w:pStyle w:val="TableParagraph"/>
              <w:spacing w:before="5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10.00</w:t>
            </w:r>
          </w:p>
        </w:tc>
      </w:tr>
      <w:tr w:rsidR="00822B1E" w:rsidRPr="005F577E" w14:paraId="2B2DDFC1" w14:textId="77777777" w:rsidTr="00080BD2">
        <w:trPr>
          <w:trHeight w:val="266"/>
        </w:trPr>
        <w:tc>
          <w:tcPr>
            <w:tcW w:w="993" w:type="dxa"/>
          </w:tcPr>
          <w:p w14:paraId="659844DE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43.</w:t>
            </w:r>
          </w:p>
        </w:tc>
        <w:tc>
          <w:tcPr>
            <w:tcW w:w="4252" w:type="dxa"/>
          </w:tcPr>
          <w:p w14:paraId="1D96ECB7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Senegal</w:t>
            </w:r>
          </w:p>
        </w:tc>
        <w:tc>
          <w:tcPr>
            <w:tcW w:w="3969" w:type="dxa"/>
          </w:tcPr>
          <w:p w14:paraId="4203E9D1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1.00</w:t>
            </w:r>
          </w:p>
        </w:tc>
      </w:tr>
      <w:tr w:rsidR="00822B1E" w:rsidRPr="005F577E" w14:paraId="57E2DC83" w14:textId="77777777" w:rsidTr="00080BD2">
        <w:trPr>
          <w:trHeight w:val="267"/>
        </w:trPr>
        <w:tc>
          <w:tcPr>
            <w:tcW w:w="993" w:type="dxa"/>
          </w:tcPr>
          <w:p w14:paraId="19EDA703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44.</w:t>
            </w:r>
          </w:p>
        </w:tc>
        <w:tc>
          <w:tcPr>
            <w:tcW w:w="4252" w:type="dxa"/>
          </w:tcPr>
          <w:p w14:paraId="4D2CE4E6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Sierra Leone</w:t>
            </w:r>
          </w:p>
        </w:tc>
        <w:tc>
          <w:tcPr>
            <w:tcW w:w="3969" w:type="dxa"/>
          </w:tcPr>
          <w:p w14:paraId="4E5617FB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0.50</w:t>
            </w:r>
          </w:p>
        </w:tc>
      </w:tr>
      <w:tr w:rsidR="00822B1E" w:rsidRPr="005F577E" w14:paraId="16B7F742" w14:textId="77777777" w:rsidTr="00080BD2">
        <w:trPr>
          <w:trHeight w:val="264"/>
        </w:trPr>
        <w:tc>
          <w:tcPr>
            <w:tcW w:w="993" w:type="dxa"/>
          </w:tcPr>
          <w:p w14:paraId="35326FBF" w14:textId="77777777" w:rsidR="00822B1E" w:rsidRPr="005F577E" w:rsidRDefault="00822B1E" w:rsidP="00080BD2">
            <w:pPr>
              <w:pStyle w:val="TableParagraph"/>
              <w:spacing w:before="5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45.</w:t>
            </w:r>
          </w:p>
        </w:tc>
        <w:tc>
          <w:tcPr>
            <w:tcW w:w="4252" w:type="dxa"/>
          </w:tcPr>
          <w:p w14:paraId="6AF5CA46" w14:textId="77777777" w:rsidR="00822B1E" w:rsidRPr="005F577E" w:rsidRDefault="00822B1E" w:rsidP="00080BD2">
            <w:pPr>
              <w:pStyle w:val="TableParagraph"/>
              <w:spacing w:before="5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Somalia</w:t>
            </w:r>
          </w:p>
        </w:tc>
        <w:tc>
          <w:tcPr>
            <w:tcW w:w="3969" w:type="dxa"/>
          </w:tcPr>
          <w:p w14:paraId="725DE21A" w14:textId="77777777" w:rsidR="00822B1E" w:rsidRPr="005F577E" w:rsidRDefault="00822B1E" w:rsidP="00080BD2">
            <w:pPr>
              <w:pStyle w:val="TableParagraph"/>
              <w:spacing w:before="5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0.50</w:t>
            </w:r>
          </w:p>
        </w:tc>
      </w:tr>
      <w:tr w:rsidR="00822B1E" w:rsidRPr="005F577E" w14:paraId="2915E619" w14:textId="77777777" w:rsidTr="00080BD2">
        <w:trPr>
          <w:trHeight w:val="268"/>
        </w:trPr>
        <w:tc>
          <w:tcPr>
            <w:tcW w:w="993" w:type="dxa"/>
          </w:tcPr>
          <w:p w14:paraId="2A95638A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46.</w:t>
            </w:r>
          </w:p>
        </w:tc>
        <w:tc>
          <w:tcPr>
            <w:tcW w:w="4252" w:type="dxa"/>
          </w:tcPr>
          <w:p w14:paraId="40186054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Sudan</w:t>
            </w:r>
          </w:p>
        </w:tc>
        <w:tc>
          <w:tcPr>
            <w:tcW w:w="3969" w:type="dxa"/>
          </w:tcPr>
          <w:p w14:paraId="02343D07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1.00</w:t>
            </w:r>
          </w:p>
        </w:tc>
      </w:tr>
      <w:tr w:rsidR="00822B1E" w:rsidRPr="005F577E" w14:paraId="5308BBD2" w14:textId="77777777" w:rsidTr="00080BD2">
        <w:trPr>
          <w:trHeight w:val="264"/>
        </w:trPr>
        <w:tc>
          <w:tcPr>
            <w:tcW w:w="993" w:type="dxa"/>
          </w:tcPr>
          <w:p w14:paraId="48291B89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47.</w:t>
            </w:r>
          </w:p>
        </w:tc>
        <w:tc>
          <w:tcPr>
            <w:tcW w:w="4252" w:type="dxa"/>
          </w:tcPr>
          <w:p w14:paraId="6C122810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Suriname</w:t>
            </w:r>
          </w:p>
        </w:tc>
        <w:tc>
          <w:tcPr>
            <w:tcW w:w="3969" w:type="dxa"/>
          </w:tcPr>
          <w:p w14:paraId="0F97F117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0.50</w:t>
            </w:r>
          </w:p>
        </w:tc>
      </w:tr>
      <w:tr w:rsidR="00822B1E" w:rsidRPr="005F577E" w14:paraId="42E6F5DF" w14:textId="77777777" w:rsidTr="00080BD2">
        <w:trPr>
          <w:trHeight w:val="267"/>
        </w:trPr>
        <w:tc>
          <w:tcPr>
            <w:tcW w:w="993" w:type="dxa"/>
          </w:tcPr>
          <w:p w14:paraId="111A5789" w14:textId="77777777" w:rsidR="00822B1E" w:rsidRPr="005F577E" w:rsidRDefault="00822B1E" w:rsidP="00080BD2">
            <w:pPr>
              <w:pStyle w:val="TableParagraph"/>
              <w:spacing w:before="5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48.</w:t>
            </w:r>
          </w:p>
        </w:tc>
        <w:tc>
          <w:tcPr>
            <w:tcW w:w="4252" w:type="dxa"/>
          </w:tcPr>
          <w:p w14:paraId="3A9CD9FE" w14:textId="77777777" w:rsidR="00822B1E" w:rsidRPr="005F577E" w:rsidRDefault="00822B1E" w:rsidP="00080BD2">
            <w:pPr>
              <w:pStyle w:val="TableParagraph"/>
              <w:spacing w:before="5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Syria</w:t>
            </w:r>
          </w:p>
        </w:tc>
        <w:tc>
          <w:tcPr>
            <w:tcW w:w="3969" w:type="dxa"/>
          </w:tcPr>
          <w:p w14:paraId="2E63BA18" w14:textId="77777777" w:rsidR="00822B1E" w:rsidRPr="005F577E" w:rsidRDefault="00822B1E" w:rsidP="00080BD2">
            <w:pPr>
              <w:pStyle w:val="TableParagraph"/>
              <w:spacing w:before="5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1.50</w:t>
            </w:r>
          </w:p>
        </w:tc>
      </w:tr>
      <w:tr w:rsidR="00822B1E" w:rsidRPr="005F577E" w14:paraId="5FFFAC1E" w14:textId="77777777" w:rsidTr="00080BD2">
        <w:trPr>
          <w:trHeight w:val="266"/>
        </w:trPr>
        <w:tc>
          <w:tcPr>
            <w:tcW w:w="993" w:type="dxa"/>
          </w:tcPr>
          <w:p w14:paraId="31734CF8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49.</w:t>
            </w:r>
          </w:p>
        </w:tc>
        <w:tc>
          <w:tcPr>
            <w:tcW w:w="4252" w:type="dxa"/>
          </w:tcPr>
          <w:p w14:paraId="2F5CA195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Tajikistan</w:t>
            </w:r>
          </w:p>
        </w:tc>
        <w:tc>
          <w:tcPr>
            <w:tcW w:w="3969" w:type="dxa"/>
          </w:tcPr>
          <w:p w14:paraId="0FAFA2A7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0.50</w:t>
            </w:r>
          </w:p>
        </w:tc>
      </w:tr>
      <w:tr w:rsidR="00822B1E" w:rsidRPr="005F577E" w14:paraId="2CC739EE" w14:textId="77777777" w:rsidTr="00080BD2">
        <w:trPr>
          <w:trHeight w:val="266"/>
        </w:trPr>
        <w:tc>
          <w:tcPr>
            <w:tcW w:w="993" w:type="dxa"/>
          </w:tcPr>
          <w:p w14:paraId="6E7AF7BA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50.</w:t>
            </w:r>
          </w:p>
        </w:tc>
        <w:tc>
          <w:tcPr>
            <w:tcW w:w="4252" w:type="dxa"/>
          </w:tcPr>
          <w:p w14:paraId="7E7E8BEF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Togo</w:t>
            </w:r>
          </w:p>
        </w:tc>
        <w:tc>
          <w:tcPr>
            <w:tcW w:w="3969" w:type="dxa"/>
          </w:tcPr>
          <w:p w14:paraId="57CB4948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0.50</w:t>
            </w:r>
          </w:p>
        </w:tc>
      </w:tr>
      <w:tr w:rsidR="00822B1E" w:rsidRPr="005F577E" w14:paraId="31CC6139" w14:textId="77777777" w:rsidTr="00080BD2">
        <w:trPr>
          <w:trHeight w:val="266"/>
        </w:trPr>
        <w:tc>
          <w:tcPr>
            <w:tcW w:w="993" w:type="dxa"/>
          </w:tcPr>
          <w:p w14:paraId="72063314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51.</w:t>
            </w:r>
          </w:p>
        </w:tc>
        <w:tc>
          <w:tcPr>
            <w:tcW w:w="4252" w:type="dxa"/>
          </w:tcPr>
          <w:p w14:paraId="72E27B60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Tunisia</w:t>
            </w:r>
          </w:p>
        </w:tc>
        <w:tc>
          <w:tcPr>
            <w:tcW w:w="3969" w:type="dxa"/>
          </w:tcPr>
          <w:p w14:paraId="75A40E7A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1.50</w:t>
            </w:r>
          </w:p>
        </w:tc>
      </w:tr>
      <w:tr w:rsidR="00822B1E" w:rsidRPr="005F577E" w14:paraId="17DFFDA9" w14:textId="77777777" w:rsidTr="00080BD2">
        <w:trPr>
          <w:trHeight w:val="268"/>
        </w:trPr>
        <w:tc>
          <w:tcPr>
            <w:tcW w:w="993" w:type="dxa"/>
          </w:tcPr>
          <w:p w14:paraId="08BA87C6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52.</w:t>
            </w:r>
          </w:p>
        </w:tc>
        <w:tc>
          <w:tcPr>
            <w:tcW w:w="4252" w:type="dxa"/>
          </w:tcPr>
          <w:p w14:paraId="76F77604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Turkey</w:t>
            </w:r>
          </w:p>
        </w:tc>
        <w:tc>
          <w:tcPr>
            <w:tcW w:w="3969" w:type="dxa"/>
          </w:tcPr>
          <w:p w14:paraId="0E777569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5.00</w:t>
            </w:r>
          </w:p>
        </w:tc>
      </w:tr>
      <w:tr w:rsidR="00822B1E" w:rsidRPr="005F577E" w14:paraId="04AA1BDE" w14:textId="77777777" w:rsidTr="00080BD2">
        <w:trPr>
          <w:trHeight w:val="263"/>
        </w:trPr>
        <w:tc>
          <w:tcPr>
            <w:tcW w:w="993" w:type="dxa"/>
          </w:tcPr>
          <w:p w14:paraId="0712FEEF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53.</w:t>
            </w:r>
          </w:p>
        </w:tc>
        <w:tc>
          <w:tcPr>
            <w:tcW w:w="4252" w:type="dxa"/>
          </w:tcPr>
          <w:p w14:paraId="7ECAD5B0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Turkmenistan</w:t>
            </w:r>
          </w:p>
        </w:tc>
        <w:tc>
          <w:tcPr>
            <w:tcW w:w="3969" w:type="dxa"/>
          </w:tcPr>
          <w:p w14:paraId="4674A9FD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1.00</w:t>
            </w:r>
          </w:p>
        </w:tc>
      </w:tr>
      <w:tr w:rsidR="00822B1E" w:rsidRPr="005F577E" w14:paraId="69941FFA" w14:textId="77777777" w:rsidTr="00080BD2">
        <w:trPr>
          <w:trHeight w:val="268"/>
        </w:trPr>
        <w:tc>
          <w:tcPr>
            <w:tcW w:w="993" w:type="dxa"/>
          </w:tcPr>
          <w:p w14:paraId="0CFBB5AB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54.</w:t>
            </w:r>
          </w:p>
        </w:tc>
        <w:tc>
          <w:tcPr>
            <w:tcW w:w="4252" w:type="dxa"/>
          </w:tcPr>
          <w:p w14:paraId="2F75266E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Uganda</w:t>
            </w:r>
          </w:p>
        </w:tc>
        <w:tc>
          <w:tcPr>
            <w:tcW w:w="3969" w:type="dxa"/>
          </w:tcPr>
          <w:p w14:paraId="3C50247A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0.50</w:t>
            </w:r>
          </w:p>
        </w:tc>
      </w:tr>
      <w:tr w:rsidR="00822B1E" w:rsidRPr="005F577E" w14:paraId="643F428B" w14:textId="77777777" w:rsidTr="00080BD2">
        <w:trPr>
          <w:trHeight w:val="299"/>
        </w:trPr>
        <w:tc>
          <w:tcPr>
            <w:tcW w:w="993" w:type="dxa"/>
          </w:tcPr>
          <w:p w14:paraId="729BBAD8" w14:textId="77777777" w:rsidR="00822B1E" w:rsidRPr="005F577E" w:rsidRDefault="00822B1E" w:rsidP="00080BD2">
            <w:pPr>
              <w:pStyle w:val="TableParagraph"/>
              <w:spacing w:before="21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55.</w:t>
            </w:r>
          </w:p>
        </w:tc>
        <w:tc>
          <w:tcPr>
            <w:tcW w:w="4252" w:type="dxa"/>
          </w:tcPr>
          <w:p w14:paraId="5B5BE86D" w14:textId="77777777" w:rsidR="00822B1E" w:rsidRPr="005F577E" w:rsidRDefault="00822B1E" w:rsidP="00080BD2">
            <w:pPr>
              <w:pStyle w:val="TableParagraph"/>
              <w:spacing w:before="0" w:line="134" w:lineRule="exact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United Arab</w:t>
            </w:r>
          </w:p>
          <w:p w14:paraId="6FF09674" w14:textId="77777777" w:rsidR="00822B1E" w:rsidRPr="005F577E" w:rsidRDefault="00822B1E" w:rsidP="00080BD2">
            <w:pPr>
              <w:pStyle w:val="TableParagraph"/>
              <w:spacing w:before="0" w:line="145" w:lineRule="exact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Emirates</w:t>
            </w:r>
          </w:p>
        </w:tc>
        <w:tc>
          <w:tcPr>
            <w:tcW w:w="3969" w:type="dxa"/>
          </w:tcPr>
          <w:p w14:paraId="7BC8DFD1" w14:textId="77777777" w:rsidR="00822B1E" w:rsidRPr="005F577E" w:rsidRDefault="00822B1E" w:rsidP="00080BD2">
            <w:pPr>
              <w:pStyle w:val="TableParagraph"/>
              <w:spacing w:before="21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7.00</w:t>
            </w:r>
          </w:p>
        </w:tc>
      </w:tr>
      <w:tr w:rsidR="00822B1E" w:rsidRPr="005F577E" w14:paraId="5764C254" w14:textId="77777777" w:rsidTr="00080BD2">
        <w:trPr>
          <w:trHeight w:val="266"/>
        </w:trPr>
        <w:tc>
          <w:tcPr>
            <w:tcW w:w="993" w:type="dxa"/>
          </w:tcPr>
          <w:p w14:paraId="69E8C4CE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56.</w:t>
            </w:r>
          </w:p>
        </w:tc>
        <w:tc>
          <w:tcPr>
            <w:tcW w:w="4252" w:type="dxa"/>
          </w:tcPr>
          <w:p w14:paraId="21D30BC6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Uzbekistan</w:t>
            </w:r>
          </w:p>
        </w:tc>
        <w:tc>
          <w:tcPr>
            <w:tcW w:w="3969" w:type="dxa"/>
          </w:tcPr>
          <w:p w14:paraId="387764DA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1.00</w:t>
            </w:r>
          </w:p>
        </w:tc>
      </w:tr>
      <w:tr w:rsidR="00822B1E" w:rsidRPr="005F577E" w14:paraId="323D3551" w14:textId="77777777" w:rsidTr="00080BD2">
        <w:trPr>
          <w:trHeight w:val="266"/>
        </w:trPr>
        <w:tc>
          <w:tcPr>
            <w:tcW w:w="993" w:type="dxa"/>
          </w:tcPr>
          <w:p w14:paraId="4F800720" w14:textId="77777777" w:rsidR="00822B1E" w:rsidRPr="005F577E" w:rsidRDefault="00822B1E" w:rsidP="00080BD2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57.</w:t>
            </w:r>
          </w:p>
        </w:tc>
        <w:tc>
          <w:tcPr>
            <w:tcW w:w="4252" w:type="dxa"/>
          </w:tcPr>
          <w:p w14:paraId="7D9E4511" w14:textId="77777777" w:rsidR="00822B1E" w:rsidRPr="005F577E" w:rsidRDefault="00822B1E" w:rsidP="00080BD2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Republic of Yemen</w:t>
            </w:r>
          </w:p>
        </w:tc>
        <w:tc>
          <w:tcPr>
            <w:tcW w:w="3969" w:type="dxa"/>
          </w:tcPr>
          <w:p w14:paraId="3BCC9357" w14:textId="77777777" w:rsidR="00822B1E" w:rsidRPr="005F577E" w:rsidRDefault="00822B1E" w:rsidP="00080BD2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0.50</w:t>
            </w:r>
          </w:p>
        </w:tc>
      </w:tr>
      <w:tr w:rsidR="00822B1E" w:rsidRPr="005F577E" w14:paraId="37679595" w14:textId="77777777" w:rsidTr="00080BD2">
        <w:trPr>
          <w:trHeight w:val="268"/>
        </w:trPr>
        <w:tc>
          <w:tcPr>
            <w:tcW w:w="993" w:type="dxa"/>
          </w:tcPr>
          <w:p w14:paraId="71332D8E" w14:textId="77777777" w:rsidR="00822B1E" w:rsidRPr="005F577E" w:rsidRDefault="00822B1E" w:rsidP="00080BD2">
            <w:pPr>
              <w:pStyle w:val="TableParagraph"/>
              <w:spacing w:before="0"/>
              <w:ind w:left="0"/>
              <w:rPr>
                <w:rFonts w:asciiTheme="majorBidi" w:hAnsiTheme="majorBidi" w:cstheme="majorBidi"/>
                <w:sz w:val="18"/>
              </w:rPr>
            </w:pPr>
          </w:p>
        </w:tc>
        <w:tc>
          <w:tcPr>
            <w:tcW w:w="4252" w:type="dxa"/>
          </w:tcPr>
          <w:p w14:paraId="53678537" w14:textId="1E99207E" w:rsidR="00822B1E" w:rsidRPr="005F577E" w:rsidRDefault="00473600" w:rsidP="00080BD2">
            <w:pPr>
              <w:pStyle w:val="TableParagraph"/>
              <w:spacing w:before="27"/>
              <w:ind w:left="546"/>
              <w:rPr>
                <w:rFonts w:asciiTheme="majorBidi" w:hAnsiTheme="majorBidi" w:cstheme="majorBidi"/>
                <w:b/>
                <w:sz w:val="18"/>
              </w:rPr>
            </w:pPr>
            <w:r>
              <w:rPr>
                <w:rFonts w:asciiTheme="majorBidi" w:hAnsiTheme="majorBidi" w:cstheme="majorBidi"/>
                <w:b/>
                <w:w w:val="105"/>
                <w:sz w:val="18"/>
              </w:rPr>
              <w:t>TOTAL</w:t>
            </w:r>
            <w:r w:rsidR="00822B1E" w:rsidRPr="005F577E">
              <w:rPr>
                <w:rFonts w:asciiTheme="majorBidi" w:hAnsiTheme="majorBidi" w:cstheme="majorBidi"/>
                <w:b/>
                <w:w w:val="105"/>
                <w:sz w:val="18"/>
              </w:rPr>
              <w:t>:</w:t>
            </w:r>
          </w:p>
        </w:tc>
        <w:tc>
          <w:tcPr>
            <w:tcW w:w="3969" w:type="dxa"/>
          </w:tcPr>
          <w:p w14:paraId="456E66B9" w14:textId="77777777" w:rsidR="00822B1E" w:rsidRPr="005F577E" w:rsidRDefault="00822B1E" w:rsidP="00080BD2">
            <w:pPr>
              <w:pStyle w:val="TableParagraph"/>
              <w:spacing w:before="27"/>
              <w:ind w:right="748"/>
              <w:jc w:val="center"/>
              <w:rPr>
                <w:rFonts w:asciiTheme="majorBidi" w:hAnsiTheme="majorBidi" w:cstheme="majorBidi"/>
                <w:b/>
                <w:sz w:val="18"/>
              </w:rPr>
            </w:pPr>
            <w:r w:rsidRPr="005F577E">
              <w:rPr>
                <w:rFonts w:asciiTheme="majorBidi" w:hAnsiTheme="majorBidi" w:cstheme="majorBidi"/>
                <w:b/>
                <w:w w:val="105"/>
                <w:sz w:val="18"/>
              </w:rPr>
              <w:t>100%</w:t>
            </w:r>
          </w:p>
        </w:tc>
      </w:tr>
    </w:tbl>
    <w:p w14:paraId="04B7D400" w14:textId="69ABFD5A" w:rsidR="00473600" w:rsidRPr="00473600" w:rsidRDefault="00473600" w:rsidP="000F2070">
      <w:pPr>
        <w:spacing w:beforeLines="60" w:before="144" w:afterLines="60" w:after="144"/>
        <w:jc w:val="both"/>
        <w:rPr>
          <w:lang w:val="en-US"/>
        </w:rPr>
      </w:pPr>
      <w:r w:rsidRPr="00473600">
        <w:rPr>
          <w:lang w:val="en-US"/>
        </w:rPr>
        <w:t>To form the annual contributions of</w:t>
      </w:r>
      <w:r w:rsidR="00BD4D31">
        <w:rPr>
          <w:lang w:val="en-US"/>
        </w:rPr>
        <w:t xml:space="preserve"> 33</w:t>
      </w:r>
      <w:r w:rsidRPr="00473600">
        <w:rPr>
          <w:lang w:val="en-US"/>
        </w:rPr>
        <w:t xml:space="preserve"> IOFS member states, the percentage of each country on the OIC scale is taken as the basis.</w:t>
      </w:r>
    </w:p>
    <w:p w14:paraId="13954631" w14:textId="72881CC4" w:rsidR="00101F34" w:rsidRDefault="00BD4D31" w:rsidP="006014DD">
      <w:pPr>
        <w:jc w:val="both"/>
        <w:rPr>
          <w:b/>
          <w:bCs/>
          <w:i/>
          <w:iCs/>
          <w:u w:val="single"/>
          <w:lang w:val="en-US"/>
        </w:rPr>
      </w:pPr>
      <w:r>
        <w:rPr>
          <w:b/>
          <w:bCs/>
          <w:i/>
          <w:iCs/>
          <w:u w:val="single"/>
          <w:lang w:val="en-US"/>
        </w:rPr>
        <w:t>TABLE OF CONTRIBUTIONS</w:t>
      </w:r>
      <w:r w:rsidR="002E437A">
        <w:rPr>
          <w:b/>
          <w:bCs/>
          <w:i/>
          <w:iCs/>
          <w:u w:val="single"/>
          <w:lang w:val="en-US"/>
        </w:rPr>
        <w:t xml:space="preserve"> FOR IOFS MEMBER STATES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1295"/>
        <w:gridCol w:w="864"/>
        <w:gridCol w:w="1425"/>
        <w:gridCol w:w="1276"/>
        <w:gridCol w:w="1276"/>
        <w:gridCol w:w="1275"/>
        <w:gridCol w:w="1276"/>
      </w:tblGrid>
      <w:tr w:rsidR="00BD4D31" w:rsidRPr="00E9183C" w14:paraId="419AE2E7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7ECE2A22" w14:textId="77777777" w:rsidR="00BD4D31" w:rsidRPr="00E9183C" w:rsidRDefault="00BD4D31" w:rsidP="0023171F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bookmarkStart w:id="2" w:name="_Hlk16841168"/>
            <w:r w:rsidRPr="00E9183C"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>No.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46335FE0" w14:textId="0FAFFBBE" w:rsidR="00BD4D31" w:rsidRPr="00BD4D31" w:rsidRDefault="00BD4D31" w:rsidP="0023171F">
            <w:pPr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>IOFS Member States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3BF1E23A" w14:textId="69D37C61" w:rsidR="00BD4D31" w:rsidRPr="00E9183C" w:rsidRDefault="00BD4D31" w:rsidP="0023171F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E9183C"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OIC </w:t>
            </w:r>
            <w:r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Scale </w:t>
            </w:r>
            <w:r w:rsidRPr="00E9183C"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>(%)</w:t>
            </w:r>
          </w:p>
        </w:tc>
        <w:tc>
          <w:tcPr>
            <w:tcW w:w="1425" w:type="dxa"/>
            <w:vAlign w:val="center"/>
          </w:tcPr>
          <w:p w14:paraId="49809A58" w14:textId="3550AE7E" w:rsidR="00BD4D31" w:rsidRPr="00E9183C" w:rsidRDefault="00BD4D31" w:rsidP="0023171F">
            <w:pPr>
              <w:jc w:val="center"/>
              <w:rPr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>Initial Indicators</w:t>
            </w:r>
            <w:r w:rsidRPr="00E9183C">
              <w:rPr>
                <w:b/>
                <w:bCs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5AE028D" w14:textId="75A03C0D" w:rsidR="00BD4D31" w:rsidRPr="00E9183C" w:rsidRDefault="00BD4D31" w:rsidP="0023171F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E9183C"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IOFS </w:t>
            </w:r>
            <w:r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Scale </w:t>
            </w:r>
            <w:r w:rsidRPr="00E9183C"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>(%)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FA4BA3B" w14:textId="77777777" w:rsidR="00BD4D31" w:rsidRPr="00E9183C" w:rsidRDefault="00BD4D31" w:rsidP="0023171F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E9183C"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>2020 (USD)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D894F8F" w14:textId="77777777" w:rsidR="00BD4D31" w:rsidRPr="00E9183C" w:rsidRDefault="00BD4D31" w:rsidP="0023171F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E9183C"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>2021 (USD)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7BE10E5" w14:textId="77777777" w:rsidR="00BD4D31" w:rsidRPr="00E9183C" w:rsidRDefault="00BD4D31" w:rsidP="0023171F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E9183C"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>2022 (USD)</w:t>
            </w:r>
          </w:p>
        </w:tc>
      </w:tr>
      <w:tr w:rsidR="00BD4D31" w:rsidRPr="00E9183C" w14:paraId="54F5FDD4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6DFF9D38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14:paraId="023F5D5E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 w:rsidRPr="00E9183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53ED818A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 w:rsidRPr="00E9183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25" w:type="dxa"/>
            <w:vAlign w:val="center"/>
          </w:tcPr>
          <w:p w14:paraId="598F7349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 w:rsidRPr="00E9183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F46946E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 w:rsidRPr="00E9183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1B922CC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 w:rsidRPr="00E9183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6788FB4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 w:rsidRPr="00E9183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A2DAA95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 w:rsidRPr="00E9183C">
              <w:rPr>
                <w:color w:val="000000"/>
                <w:sz w:val="20"/>
                <w:szCs w:val="20"/>
              </w:rPr>
              <w:t>7</w:t>
            </w:r>
          </w:p>
        </w:tc>
      </w:tr>
      <w:tr w:rsidR="00BD4D31" w:rsidRPr="00E9183C" w14:paraId="22E603F9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7C1796D6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3002945E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Kazakhstan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6E02A11A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425" w:type="dxa"/>
            <w:vAlign w:val="center"/>
          </w:tcPr>
          <w:p w14:paraId="75EB632B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2486B38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F463444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477 349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134FBDEB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525 952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5359019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561 316</w:t>
            </w:r>
          </w:p>
        </w:tc>
      </w:tr>
      <w:tr w:rsidR="00BD4D31" w:rsidRPr="00E9183C" w14:paraId="00EE07D9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6D3328B8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5EADFCB3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Saudi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Arabia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53C4418F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425" w:type="dxa"/>
            <w:vAlign w:val="center"/>
          </w:tcPr>
          <w:p w14:paraId="2B13DF52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15,63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46B147F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15,16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AFE1F76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452 290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5209A4BE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498 342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701F3AD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531 849</w:t>
            </w:r>
          </w:p>
        </w:tc>
      </w:tr>
      <w:tr w:rsidR="00BD4D31" w:rsidRPr="00E9183C" w14:paraId="277A252A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46AFB4B2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5DB3F897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Kuwait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5C549BAF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9,00</w:t>
            </w:r>
          </w:p>
        </w:tc>
        <w:tc>
          <w:tcPr>
            <w:tcW w:w="1425" w:type="dxa"/>
            <w:vAlign w:val="center"/>
          </w:tcPr>
          <w:p w14:paraId="34E578D1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14,06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258C782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13,60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2EAC16A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405 671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030AA44D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446 976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A4DD892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477 031</w:t>
            </w:r>
          </w:p>
        </w:tc>
      </w:tr>
      <w:tr w:rsidR="00BD4D31" w:rsidRPr="00E9183C" w14:paraId="637B71AC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13F07D13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0BFAF9F4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United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Arab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3653B406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7,00</w:t>
            </w:r>
          </w:p>
        </w:tc>
        <w:tc>
          <w:tcPr>
            <w:tcW w:w="1425" w:type="dxa"/>
            <w:vAlign w:val="center"/>
          </w:tcPr>
          <w:p w14:paraId="442E0E5D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10,94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5E9EADD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10,47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9E3FB65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312 435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6A304D19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344 246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A0A9824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367 393</w:t>
            </w:r>
          </w:p>
        </w:tc>
      </w:tr>
      <w:tr w:rsidR="00BD4D31" w:rsidRPr="00E9183C" w14:paraId="61420424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11C4B019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41A4760A" w14:textId="35958637" w:rsidR="00BD4D31" w:rsidRPr="00BD4D31" w:rsidRDefault="00BD4D31" w:rsidP="0023171F">
            <w:pPr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  <w:lang w:val="en-US" w:eastAsia="ru-RU"/>
              </w:rPr>
              <w:t>Libya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5D5137FF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425" w:type="dxa"/>
            <w:vAlign w:val="center"/>
          </w:tcPr>
          <w:p w14:paraId="0FDE0DBA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9,38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4C1551D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8,91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17EB0A63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265 816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2EFA2B11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292 881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E53005E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312 574</w:t>
            </w:r>
          </w:p>
        </w:tc>
      </w:tr>
      <w:tr w:rsidR="00BD4D31" w:rsidRPr="00E9183C" w14:paraId="22639719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3CA5CBCB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3F88081B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Iran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60ABDA16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5,50</w:t>
            </w:r>
          </w:p>
        </w:tc>
        <w:tc>
          <w:tcPr>
            <w:tcW w:w="1425" w:type="dxa"/>
            <w:vAlign w:val="center"/>
          </w:tcPr>
          <w:p w14:paraId="3BDA5582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20F3C0F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8,13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D7FF180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242 507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1060A47A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267 199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692A227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285 165</w:t>
            </w:r>
          </w:p>
        </w:tc>
      </w:tr>
      <w:tr w:rsidR="00BD4D31" w:rsidRPr="00E9183C" w14:paraId="46831803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61A86742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148E2C44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Turkey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2D44E5A6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425" w:type="dxa"/>
            <w:vAlign w:val="center"/>
          </w:tcPr>
          <w:p w14:paraId="472AECF1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7,81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4D0B902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7,35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6566B4C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219 198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1C5F4031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241 516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D2E5BC4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257 755</w:t>
            </w:r>
          </w:p>
        </w:tc>
      </w:tr>
      <w:tr w:rsidR="00BD4D31" w:rsidRPr="00E9183C" w14:paraId="285BF0B3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2E3D1291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77FE1898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Qatar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6A0269D7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3,50</w:t>
            </w:r>
          </w:p>
        </w:tc>
        <w:tc>
          <w:tcPr>
            <w:tcW w:w="1425" w:type="dxa"/>
            <w:vAlign w:val="center"/>
          </w:tcPr>
          <w:p w14:paraId="79A34939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83D1409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A36485B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149 270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7F828F8A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164 469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EC9A215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175 527</w:t>
            </w:r>
          </w:p>
        </w:tc>
      </w:tr>
      <w:tr w:rsidR="00BD4D31" w:rsidRPr="00E9183C" w14:paraId="1334E576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6A2DBA2C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774C1E32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Egypt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3E2F59CD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425" w:type="dxa"/>
            <w:vAlign w:val="center"/>
          </w:tcPr>
          <w:p w14:paraId="3994EE35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1832DD7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2,66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08248A1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79 342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612912D1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87 421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FC3BCF4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93 299</w:t>
            </w:r>
          </w:p>
        </w:tc>
      </w:tr>
      <w:tr w:rsidR="00BD4D31" w:rsidRPr="00E9183C" w14:paraId="2CF8C2A8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6F53AD6A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7830BBA2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Pakistan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009B2713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425" w:type="dxa"/>
            <w:vAlign w:val="center"/>
          </w:tcPr>
          <w:p w14:paraId="5B36A2B2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A0C799B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2,66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BA206AD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79 342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01E6ECC0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87 421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13152352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93 299</w:t>
            </w:r>
          </w:p>
        </w:tc>
      </w:tr>
      <w:tr w:rsidR="00BD4D31" w:rsidRPr="00E9183C" w14:paraId="0E0557D5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5E50648C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4D2E2D91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Bangladesh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7F97044A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425" w:type="dxa"/>
            <w:vAlign w:val="center"/>
          </w:tcPr>
          <w:p w14:paraId="5F8C8B4F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DC93C6D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1C1FFC90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32 724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1228E76C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36 056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642DC2C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38 480</w:t>
            </w:r>
          </w:p>
        </w:tc>
      </w:tr>
      <w:tr w:rsidR="00BD4D31" w:rsidRPr="00E9183C" w14:paraId="2D2F611A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7E0743AB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77BBE749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Ivory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Coast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7EA4D892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425" w:type="dxa"/>
            <w:vAlign w:val="center"/>
          </w:tcPr>
          <w:p w14:paraId="15155F63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FF926AA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44D2F75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32 724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60228454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36 056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73B68C7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38 480</w:t>
            </w:r>
          </w:p>
        </w:tc>
      </w:tr>
      <w:tr w:rsidR="00BD4D31" w:rsidRPr="00E9183C" w14:paraId="00251845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0DACEEE0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3E54C557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Senegal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55237CC3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425" w:type="dxa"/>
            <w:vAlign w:val="center"/>
          </w:tcPr>
          <w:p w14:paraId="4D761CBB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7390E3F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2E45855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32 724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3D1D9FBA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36 056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4857D4F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38 480</w:t>
            </w:r>
          </w:p>
        </w:tc>
      </w:tr>
      <w:tr w:rsidR="00BD4D31" w:rsidRPr="00E9183C" w14:paraId="2FCB46A2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2A20B701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44197416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Sudan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1F87463D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425" w:type="dxa"/>
            <w:vAlign w:val="center"/>
          </w:tcPr>
          <w:p w14:paraId="239E4843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A46EB5D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DC00B07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32 724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2B73E6E2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36 056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186D2FB1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38 480</w:t>
            </w:r>
          </w:p>
        </w:tc>
      </w:tr>
      <w:tr w:rsidR="00BD4D31" w:rsidRPr="00E9183C" w14:paraId="5CA4E4C0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24618A92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4D0DD516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Afghanistan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26B482DD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25" w:type="dxa"/>
            <w:vAlign w:val="center"/>
          </w:tcPr>
          <w:p w14:paraId="760D11E7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E74BEE8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FCCAB04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39C97F1C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21E3A08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BD4D31" w:rsidRPr="00E9183C" w14:paraId="76B4E75C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3CE87B29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3DC9A378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Benin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7B9108AF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25" w:type="dxa"/>
            <w:vAlign w:val="center"/>
          </w:tcPr>
          <w:p w14:paraId="06071677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8F5947E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04E87A1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3FB60DDF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63EEA72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BD4D31" w:rsidRPr="00E9183C" w14:paraId="740BAFF8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151CAD5C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08335C7F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Burkina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Faso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35701ED9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25" w:type="dxa"/>
            <w:vAlign w:val="center"/>
          </w:tcPr>
          <w:p w14:paraId="295C32D7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1172AEF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0D701F2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537262B3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641594C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BD4D31" w:rsidRPr="00E9183C" w14:paraId="1E47924C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7F6AA47E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39356917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Cameroon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510D5FCF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25" w:type="dxa"/>
            <w:vAlign w:val="center"/>
          </w:tcPr>
          <w:p w14:paraId="09217AD8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472607F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12ECD28A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2255A8EA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B3DD600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BD4D31" w:rsidRPr="00E9183C" w14:paraId="6234C537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3AC42E59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1332E3C7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Comoros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2258FBCC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25" w:type="dxa"/>
            <w:vAlign w:val="center"/>
          </w:tcPr>
          <w:p w14:paraId="4AC084EB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6B813F8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EE300CF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15A2FEBC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9133DC0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BD4D31" w:rsidRPr="00E9183C" w14:paraId="5A17FD29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1D7EC059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22A5E95B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Djibouti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51F6056D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25" w:type="dxa"/>
            <w:vAlign w:val="center"/>
          </w:tcPr>
          <w:p w14:paraId="663AF75E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F30CA01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DC2880B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7AE9D540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7A6EE7C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BD4D31" w:rsidRPr="00E9183C" w14:paraId="29A2D241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6558004F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7C10BE8C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Gambia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296AF79F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25" w:type="dxa"/>
            <w:vAlign w:val="center"/>
          </w:tcPr>
          <w:p w14:paraId="07AA64DC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EEBF416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CFFB142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683FEC78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75F99F9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BD4D31" w:rsidRPr="00E9183C" w14:paraId="31A7F111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6668D78F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5F2281E2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Guinea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49DD9B62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25" w:type="dxa"/>
            <w:vAlign w:val="center"/>
          </w:tcPr>
          <w:p w14:paraId="559EE819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C3AFDB1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E235DC0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7DD0382F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8084E13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BD4D31" w:rsidRPr="00E9183C" w14:paraId="2BB5034C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12D7DB91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7E0EFA9A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Guinea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Bissau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1FB0D73D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25" w:type="dxa"/>
            <w:vAlign w:val="center"/>
          </w:tcPr>
          <w:p w14:paraId="5E3E0B36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D40FE79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116F11FF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6D12134A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97AEBCD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BD4D31" w:rsidRPr="00E9183C" w14:paraId="3D3F5AD6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5A4C3CB2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39C15A72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Mali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49B7A2D4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25" w:type="dxa"/>
            <w:vAlign w:val="center"/>
          </w:tcPr>
          <w:p w14:paraId="24EE6992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954D59C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693BE20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1CF1C684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2597738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BD4D31" w:rsidRPr="00E9183C" w14:paraId="0FCC978D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428CA620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28CDF710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Mauritania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008BE7B3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25" w:type="dxa"/>
            <w:vAlign w:val="center"/>
          </w:tcPr>
          <w:p w14:paraId="12446B10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5CBFEA8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DF56110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299985DF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1B17470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BD4D31" w:rsidRPr="00E9183C" w14:paraId="277EFDE8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36DEABCE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1771D56E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Mozambique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05159D67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25" w:type="dxa"/>
            <w:vAlign w:val="center"/>
          </w:tcPr>
          <w:p w14:paraId="294433FD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88B33E6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F52C0DE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34BDD4F9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1A02381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BD4D31" w:rsidRPr="00E9183C" w14:paraId="784026B7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4DDF7271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103625A1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Niger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084E5D65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25" w:type="dxa"/>
            <w:vAlign w:val="center"/>
          </w:tcPr>
          <w:p w14:paraId="41619F3E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926E62A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458AE87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192C3FA5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192652C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BD4D31" w:rsidRPr="00E9183C" w14:paraId="71328045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501A4399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1AA02E02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Sierra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Leone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0E11CC03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25" w:type="dxa"/>
            <w:vAlign w:val="center"/>
          </w:tcPr>
          <w:p w14:paraId="5BCC34ED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4175DE3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F79959F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066DCB88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D25E0EC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BD4D31" w:rsidRPr="00E9183C" w14:paraId="256CE487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396FBC4C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0E977260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Somalia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630B7A48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25" w:type="dxa"/>
            <w:vAlign w:val="center"/>
          </w:tcPr>
          <w:p w14:paraId="4A5EF8D8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87D4465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8B5ACEF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2CB8294A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014B4E8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BD4D31" w:rsidRPr="00E9183C" w14:paraId="6F0B4606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5D87C404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3C77B767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Suriname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57C3BE1D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25" w:type="dxa"/>
            <w:vAlign w:val="center"/>
          </w:tcPr>
          <w:p w14:paraId="0B613442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B1E73A9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A47F043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44D91A53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7D3AFC7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BD4D31" w:rsidRPr="00E9183C" w14:paraId="2F2B2DF0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1E8A4121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38F146A9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Tajikistan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1B3099AA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25" w:type="dxa"/>
            <w:vAlign w:val="center"/>
          </w:tcPr>
          <w:p w14:paraId="3283C130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3970B49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4988F83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7BC683EE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9C03E85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BD4D31" w:rsidRPr="00E9183C" w14:paraId="14EB060B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268E1DD1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351A954C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Uganda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57DE4B31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25" w:type="dxa"/>
            <w:vAlign w:val="center"/>
          </w:tcPr>
          <w:p w14:paraId="05F774B1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1444E45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47B67BC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7D4779C0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A16BA04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BD4D31" w:rsidRPr="00E9183C" w14:paraId="4CDFF4DD" w14:textId="77777777" w:rsidTr="0023171F">
        <w:trPr>
          <w:trHeight w:val="302"/>
        </w:trPr>
        <w:tc>
          <w:tcPr>
            <w:tcW w:w="522" w:type="dxa"/>
            <w:shd w:val="clear" w:color="auto" w:fill="auto"/>
            <w:vAlign w:val="center"/>
          </w:tcPr>
          <w:p w14:paraId="17539EA1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7DF936AA" w14:textId="77777777" w:rsidR="00BD4D31" w:rsidRPr="00E9183C" w:rsidRDefault="00BD4D31" w:rsidP="0023171F">
            <w:pPr>
              <w:rPr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Palestine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exempted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5CB31017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5" w:type="dxa"/>
            <w:vAlign w:val="center"/>
          </w:tcPr>
          <w:p w14:paraId="5C7D37C4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AD14C3E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 0,00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A66D1E5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58F2332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F46094F" w14:textId="77777777" w:rsidR="00BD4D31" w:rsidRPr="00E9183C" w:rsidRDefault="00BD4D31" w:rsidP="002317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D4D31" w:rsidRPr="00E9183C" w14:paraId="5CF6F8C8" w14:textId="77777777" w:rsidTr="0023171F">
        <w:trPr>
          <w:trHeight w:val="317"/>
        </w:trPr>
        <w:tc>
          <w:tcPr>
            <w:tcW w:w="522" w:type="dxa"/>
            <w:shd w:val="clear" w:color="auto" w:fill="auto"/>
            <w:vAlign w:val="center"/>
          </w:tcPr>
          <w:p w14:paraId="46C1A1F8" w14:textId="77777777" w:rsidR="00BD4D31" w:rsidRPr="00E9183C" w:rsidRDefault="00BD4D31" w:rsidP="0023171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0D6F7F36" w14:textId="2F71B11B" w:rsidR="00BD4D31" w:rsidRPr="00BD4D31" w:rsidRDefault="00BD4D31" w:rsidP="0023171F">
            <w:pPr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>TOTAL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9700579" w14:textId="77777777" w:rsidR="00BD4D31" w:rsidRPr="00E9183C" w:rsidRDefault="00BD4D31" w:rsidP="0023171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64,00</w:t>
            </w:r>
          </w:p>
        </w:tc>
        <w:tc>
          <w:tcPr>
            <w:tcW w:w="1425" w:type="dxa"/>
            <w:vAlign w:val="bottom"/>
          </w:tcPr>
          <w:p w14:paraId="298EB80B" w14:textId="77777777" w:rsidR="00BD4D31" w:rsidRPr="00E9183C" w:rsidRDefault="00BD4D31" w:rsidP="0023171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337439A" w14:textId="77777777" w:rsidR="00BD4D31" w:rsidRPr="00E9183C" w:rsidRDefault="00BD4D31" w:rsidP="0023171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A296155" w14:textId="77777777" w:rsidR="00BD4D31" w:rsidRPr="00E9183C" w:rsidRDefault="00BD4D31" w:rsidP="0023171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2 983 580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0087D36C" w14:textId="77777777" w:rsidR="00BD4D31" w:rsidRPr="00E9183C" w:rsidRDefault="00BD4D31" w:rsidP="0023171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3 287 365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5C68C08" w14:textId="77777777" w:rsidR="00BD4D31" w:rsidRPr="00E9183C" w:rsidRDefault="00BD4D31" w:rsidP="0023171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3 508 403</w:t>
            </w:r>
          </w:p>
        </w:tc>
      </w:tr>
    </w:tbl>
    <w:bookmarkEnd w:id="2"/>
    <w:p w14:paraId="765F81C6" w14:textId="28A4F826" w:rsidR="002E437A" w:rsidRPr="002E437A" w:rsidRDefault="002E437A" w:rsidP="002E437A">
      <w:pPr>
        <w:spacing w:beforeLines="60" w:before="144" w:afterLines="60" w:after="144"/>
        <w:jc w:val="both"/>
        <w:rPr>
          <w:lang w:val="en-US"/>
        </w:rPr>
      </w:pPr>
      <w:r w:rsidRPr="002E437A">
        <w:rPr>
          <w:b/>
          <w:bCs/>
          <w:lang w:val="en-US"/>
        </w:rPr>
        <w:t>Column 1. Arrangement of States in descending order of percentage.</w:t>
      </w:r>
    </w:p>
    <w:p w14:paraId="49028DC7" w14:textId="3B3C2DA4" w:rsidR="002E437A" w:rsidRPr="002E437A" w:rsidRDefault="002E437A" w:rsidP="002E437A">
      <w:pPr>
        <w:spacing w:beforeLines="60" w:before="144" w:afterLines="60" w:after="144"/>
        <w:jc w:val="both"/>
        <w:rPr>
          <w:lang w:val="en-US"/>
        </w:rPr>
      </w:pPr>
      <w:r>
        <w:rPr>
          <w:lang w:val="en-US"/>
        </w:rPr>
        <w:t>States</w:t>
      </w:r>
      <w:r w:rsidRPr="002E437A">
        <w:rPr>
          <w:lang w:val="en-US"/>
        </w:rPr>
        <w:t xml:space="preserve"> are </w:t>
      </w:r>
      <w:r>
        <w:rPr>
          <w:lang w:val="en-US"/>
        </w:rPr>
        <w:t xml:space="preserve">ranged </w:t>
      </w:r>
      <w:r w:rsidRPr="002E437A">
        <w:rPr>
          <w:lang w:val="en-US"/>
        </w:rPr>
        <w:t>in descending order of percentage.</w:t>
      </w:r>
    </w:p>
    <w:p w14:paraId="0205E716" w14:textId="77777777" w:rsidR="002E437A" w:rsidRPr="002E437A" w:rsidRDefault="002E437A" w:rsidP="002E437A">
      <w:pPr>
        <w:spacing w:beforeLines="60" w:before="144" w:afterLines="60" w:after="144"/>
        <w:jc w:val="both"/>
        <w:rPr>
          <w:lang w:val="en-US"/>
        </w:rPr>
      </w:pPr>
      <w:r w:rsidRPr="002E437A">
        <w:rPr>
          <w:lang w:val="en-US"/>
        </w:rPr>
        <w:t xml:space="preserve">Based on the following factors, </w:t>
      </w:r>
      <w:r w:rsidRPr="002E437A">
        <w:rPr>
          <w:b/>
          <w:bCs/>
          <w:lang w:val="en-US"/>
        </w:rPr>
        <w:t>the first special position</w:t>
      </w:r>
      <w:r w:rsidRPr="002E437A">
        <w:rPr>
          <w:lang w:val="en-US"/>
        </w:rPr>
        <w:t xml:space="preserve"> is determined:</w:t>
      </w:r>
    </w:p>
    <w:p w14:paraId="377ED7A9" w14:textId="627E0969" w:rsidR="002E437A" w:rsidRPr="002E437A" w:rsidRDefault="002E437A" w:rsidP="002E437A">
      <w:pPr>
        <w:spacing w:beforeLines="60" w:before="144" w:afterLines="60" w:after="144"/>
        <w:jc w:val="both"/>
        <w:rPr>
          <w:lang w:val="en-US"/>
        </w:rPr>
      </w:pPr>
      <w:r w:rsidRPr="002E437A">
        <w:rPr>
          <w:lang w:val="en-US"/>
        </w:rPr>
        <w:t xml:space="preserve">- the </w:t>
      </w:r>
      <w:r>
        <w:rPr>
          <w:lang w:val="en-US"/>
        </w:rPr>
        <w:t>State</w:t>
      </w:r>
      <w:r w:rsidRPr="002E437A">
        <w:rPr>
          <w:lang w:val="en-US"/>
        </w:rPr>
        <w:t xml:space="preserve"> initiating the creation,</w:t>
      </w:r>
    </w:p>
    <w:p w14:paraId="18244FBB" w14:textId="5F29278E" w:rsidR="002E437A" w:rsidRPr="002E437A" w:rsidRDefault="002E437A" w:rsidP="002E437A">
      <w:pPr>
        <w:spacing w:beforeLines="60" w:before="144" w:afterLines="60" w:after="144"/>
        <w:jc w:val="both"/>
        <w:rPr>
          <w:lang w:val="en-US"/>
        </w:rPr>
      </w:pPr>
      <w:r w:rsidRPr="002E437A">
        <w:rPr>
          <w:lang w:val="en-US"/>
        </w:rPr>
        <w:t xml:space="preserve">- </w:t>
      </w:r>
      <w:r>
        <w:rPr>
          <w:lang w:val="en-US"/>
        </w:rPr>
        <w:t>H</w:t>
      </w:r>
      <w:r w:rsidRPr="002E437A">
        <w:rPr>
          <w:lang w:val="en-US"/>
        </w:rPr>
        <w:t xml:space="preserve">ost </w:t>
      </w:r>
      <w:r>
        <w:rPr>
          <w:lang w:val="en-US"/>
        </w:rPr>
        <w:t>State</w:t>
      </w:r>
    </w:p>
    <w:p w14:paraId="45D2398D" w14:textId="664E9DD0" w:rsidR="002E437A" w:rsidRPr="002E437A" w:rsidRDefault="002E437A" w:rsidP="002E437A">
      <w:pPr>
        <w:spacing w:beforeLines="60" w:before="144" w:afterLines="60" w:after="144"/>
        <w:jc w:val="both"/>
        <w:rPr>
          <w:lang w:val="en-US"/>
        </w:rPr>
      </w:pPr>
      <w:r w:rsidRPr="002E437A">
        <w:rPr>
          <w:lang w:val="en-US"/>
        </w:rPr>
        <w:t xml:space="preserve">- </w:t>
      </w:r>
      <w:r>
        <w:rPr>
          <w:lang w:val="en-US"/>
        </w:rPr>
        <w:t>State</w:t>
      </w:r>
      <w:r w:rsidRPr="002E437A">
        <w:rPr>
          <w:lang w:val="en-US"/>
        </w:rPr>
        <w:t xml:space="preserve"> of </w:t>
      </w:r>
      <w:r>
        <w:rPr>
          <w:lang w:val="en-US"/>
        </w:rPr>
        <w:t xml:space="preserve">initial </w:t>
      </w:r>
      <w:r w:rsidRPr="002E437A">
        <w:rPr>
          <w:lang w:val="en-US"/>
        </w:rPr>
        <w:t>financing.</w:t>
      </w:r>
    </w:p>
    <w:p w14:paraId="36486B59" w14:textId="46C26EC7" w:rsidR="002E437A" w:rsidRPr="002E437A" w:rsidRDefault="002E437A" w:rsidP="00347829">
      <w:pPr>
        <w:spacing w:beforeLines="60" w:before="144" w:afterLines="60" w:after="144"/>
        <w:jc w:val="both"/>
        <w:rPr>
          <w:b/>
          <w:bCs/>
          <w:lang w:val="en-US"/>
        </w:rPr>
      </w:pPr>
      <w:r w:rsidRPr="002E437A">
        <w:rPr>
          <w:b/>
          <w:bCs/>
          <w:lang w:val="en-US"/>
        </w:rPr>
        <w:t xml:space="preserve">Column 2. Percentage of IOFS </w:t>
      </w:r>
      <w:r>
        <w:rPr>
          <w:b/>
          <w:bCs/>
          <w:lang w:val="en-US"/>
        </w:rPr>
        <w:t>M</w:t>
      </w:r>
      <w:r w:rsidRPr="002E437A">
        <w:rPr>
          <w:b/>
          <w:bCs/>
          <w:lang w:val="en-US"/>
        </w:rPr>
        <w:t xml:space="preserve">ember </w:t>
      </w:r>
      <w:r>
        <w:rPr>
          <w:b/>
          <w:bCs/>
          <w:lang w:val="en-US"/>
        </w:rPr>
        <w:t>States</w:t>
      </w:r>
      <w:r w:rsidRPr="002E437A">
        <w:rPr>
          <w:b/>
          <w:bCs/>
          <w:lang w:val="en-US"/>
        </w:rPr>
        <w:t xml:space="preserve"> on the OIC scale</w:t>
      </w:r>
    </w:p>
    <w:p w14:paraId="576FAE11" w14:textId="620CC530" w:rsidR="000B2283" w:rsidRPr="002E437A" w:rsidRDefault="002E437A" w:rsidP="00347829">
      <w:pPr>
        <w:spacing w:beforeLines="60" w:before="144" w:afterLines="60" w:after="144"/>
        <w:jc w:val="both"/>
        <w:rPr>
          <w:b/>
          <w:bCs/>
          <w:lang w:val="en-US"/>
        </w:rPr>
      </w:pPr>
      <w:r w:rsidRPr="002E437A">
        <w:rPr>
          <w:b/>
          <w:bCs/>
          <w:lang w:val="en-US"/>
        </w:rPr>
        <w:t>Column 3. Definition of i</w:t>
      </w:r>
      <w:r>
        <w:rPr>
          <w:b/>
          <w:bCs/>
          <w:lang w:val="en-US"/>
        </w:rPr>
        <w:t>nitial indicators</w:t>
      </w:r>
    </w:p>
    <w:p w14:paraId="19F21381" w14:textId="00A29AD8" w:rsidR="002E437A" w:rsidRDefault="002E437A" w:rsidP="00347829">
      <w:pPr>
        <w:spacing w:beforeLines="60" w:before="144" w:afterLines="60" w:after="144"/>
        <w:jc w:val="both"/>
        <w:rPr>
          <w:lang w:val="kk-KZ"/>
        </w:rPr>
      </w:pPr>
      <w:r w:rsidRPr="002E437A">
        <w:rPr>
          <w:lang w:val="kk-KZ"/>
        </w:rPr>
        <w:t xml:space="preserve">In order to </w:t>
      </w:r>
      <w:r>
        <w:rPr>
          <w:lang w:val="en-US"/>
        </w:rPr>
        <w:t>keep</w:t>
      </w:r>
      <w:r w:rsidRPr="002E437A">
        <w:rPr>
          <w:lang w:val="kk-KZ"/>
        </w:rPr>
        <w:t xml:space="preserve"> proportionality of shares on the basis of the OIC scale, we determine the initial indicators based on 33 </w:t>
      </w:r>
      <w:r>
        <w:rPr>
          <w:lang w:val="en-US"/>
        </w:rPr>
        <w:t>State</w:t>
      </w:r>
      <w:r w:rsidRPr="002E437A">
        <w:rPr>
          <w:lang w:val="kk-KZ"/>
        </w:rPr>
        <w:t xml:space="preserve">s instead of 57 </w:t>
      </w:r>
      <w:r>
        <w:rPr>
          <w:lang w:val="en-US"/>
        </w:rPr>
        <w:t>States</w:t>
      </w:r>
      <w:r w:rsidRPr="002E437A">
        <w:rPr>
          <w:lang w:val="kk-KZ"/>
        </w:rPr>
        <w:t>.</w:t>
      </w:r>
    </w:p>
    <w:p w14:paraId="4AA2C7A2" w14:textId="30B87AE3" w:rsidR="002E437A" w:rsidRPr="002E437A" w:rsidRDefault="002E437A" w:rsidP="002E437A">
      <w:pPr>
        <w:spacing w:beforeLines="60" w:before="144" w:afterLines="60" w:after="144"/>
        <w:jc w:val="both"/>
        <w:rPr>
          <w:b/>
          <w:bCs/>
          <w:lang w:val="en-US"/>
        </w:rPr>
      </w:pPr>
      <w:r w:rsidRPr="002E437A">
        <w:rPr>
          <w:b/>
          <w:bCs/>
          <w:lang w:val="en-US"/>
        </w:rPr>
        <w:t xml:space="preserve">Column 4. Formation of the IOFS scale for IOFS </w:t>
      </w:r>
      <w:r w:rsidR="003F5766">
        <w:rPr>
          <w:b/>
          <w:bCs/>
          <w:lang w:val="en-US"/>
        </w:rPr>
        <w:t>M</w:t>
      </w:r>
      <w:r w:rsidRPr="002E437A">
        <w:rPr>
          <w:b/>
          <w:bCs/>
          <w:lang w:val="en-US"/>
        </w:rPr>
        <w:t xml:space="preserve">ember </w:t>
      </w:r>
      <w:r w:rsidR="003F5766">
        <w:rPr>
          <w:b/>
          <w:bCs/>
          <w:lang w:val="en-US"/>
        </w:rPr>
        <w:t>States</w:t>
      </w:r>
      <w:r w:rsidRPr="002E437A">
        <w:rPr>
          <w:b/>
          <w:bCs/>
          <w:lang w:val="en-US"/>
        </w:rPr>
        <w:t>.</w:t>
      </w:r>
    </w:p>
    <w:p w14:paraId="61D16EA6" w14:textId="2DF9215A" w:rsidR="002E437A" w:rsidRPr="002E437A" w:rsidRDefault="002E437A" w:rsidP="002E437A">
      <w:pPr>
        <w:spacing w:beforeLines="60" w:before="144" w:afterLines="60" w:after="144"/>
        <w:jc w:val="both"/>
        <w:rPr>
          <w:lang w:val="en-US"/>
        </w:rPr>
      </w:pPr>
      <w:r w:rsidRPr="002E437A">
        <w:rPr>
          <w:lang w:val="en-US"/>
        </w:rPr>
        <w:t>For the purpose of fair distribution of shares, taking into account the above factors</w:t>
      </w:r>
      <w:r>
        <w:rPr>
          <w:lang w:val="en-US"/>
        </w:rPr>
        <w:t xml:space="preserve"> for the first position</w:t>
      </w:r>
      <w:r w:rsidRPr="002E437A">
        <w:rPr>
          <w:lang w:val="en-US"/>
        </w:rPr>
        <w:t xml:space="preserve">, the highest indicator </w:t>
      </w:r>
      <w:r>
        <w:rPr>
          <w:lang w:val="en-US"/>
        </w:rPr>
        <w:t xml:space="preserve">in the amount of </w:t>
      </w:r>
      <w:r w:rsidRPr="002E437A">
        <w:rPr>
          <w:lang w:val="en-US"/>
        </w:rPr>
        <w:t>1</w:t>
      </w:r>
      <w:r w:rsidR="00BD4D31">
        <w:rPr>
          <w:lang w:val="en-US"/>
        </w:rPr>
        <w:t>6</w:t>
      </w:r>
      <w:r>
        <w:rPr>
          <w:lang w:val="en-US"/>
        </w:rPr>
        <w:t>%</w:t>
      </w:r>
      <w:r w:rsidRPr="002E437A">
        <w:rPr>
          <w:lang w:val="en-US"/>
        </w:rPr>
        <w:t xml:space="preserve"> has been determined.</w:t>
      </w:r>
    </w:p>
    <w:p w14:paraId="5B045580" w14:textId="3A8EC1E7" w:rsidR="002E437A" w:rsidRPr="002E437A" w:rsidRDefault="002E437A" w:rsidP="002E437A">
      <w:pPr>
        <w:spacing w:beforeLines="60" w:before="144" w:afterLines="60" w:after="144"/>
        <w:jc w:val="both"/>
        <w:rPr>
          <w:lang w:val="en-US"/>
        </w:rPr>
      </w:pPr>
      <w:r w:rsidRPr="002E437A">
        <w:rPr>
          <w:lang w:val="en-US"/>
        </w:rPr>
        <w:lastRenderedPageBreak/>
        <w:t>In order to maintain proportionality, it is necessary to evenly subtract the above highest figure from the remaining IOFS member countries.</w:t>
      </w:r>
    </w:p>
    <w:p w14:paraId="37E4F14B" w14:textId="3FC828F5" w:rsidR="00DD66AA" w:rsidRDefault="006F1DC9" w:rsidP="00347829">
      <w:pPr>
        <w:spacing w:beforeLines="60" w:before="144" w:afterLines="60" w:after="144"/>
        <w:jc w:val="both"/>
      </w:pPr>
      <w:proofErr w:type="spellStart"/>
      <w:r w:rsidRPr="006F1DC9">
        <w:t>Formula</w:t>
      </w:r>
      <w:proofErr w:type="spellEnd"/>
      <w:r w:rsidRPr="006F1DC9">
        <w:t>:</w:t>
      </w:r>
    </w:p>
    <w:tbl>
      <w:tblPr>
        <w:tblStyle w:val="a4"/>
        <w:tblW w:w="950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352"/>
        <w:gridCol w:w="7314"/>
      </w:tblGrid>
      <w:tr w:rsidR="00AB1545" w:rsidRPr="005D085A" w14:paraId="2B8F62B6" w14:textId="77777777" w:rsidTr="00AB1545">
        <w:tc>
          <w:tcPr>
            <w:tcW w:w="1838" w:type="dxa"/>
          </w:tcPr>
          <w:p w14:paraId="4C86F1E5" w14:textId="616A2613" w:rsidR="00AB1545" w:rsidRDefault="006F1DC9" w:rsidP="00347829">
            <w:pPr>
              <w:spacing w:beforeLines="60" w:before="144" w:afterLines="60" w:after="144"/>
              <w:jc w:val="both"/>
            </w:pPr>
            <w:proofErr w:type="spellStart"/>
            <w:r w:rsidRPr="006F1DC9">
              <w:t>Average</w:t>
            </w:r>
            <w:proofErr w:type="spellEnd"/>
            <w:r w:rsidRPr="006F1DC9">
              <w:t xml:space="preserve"> </w:t>
            </w:r>
            <w:proofErr w:type="spellStart"/>
            <w:r w:rsidRPr="006F1DC9">
              <w:t>value</w:t>
            </w:r>
            <w:proofErr w:type="spellEnd"/>
            <w:r w:rsidRPr="006F1DC9">
              <w:t xml:space="preserve"> (</w:t>
            </w:r>
            <w:proofErr w:type="spellStart"/>
            <w:r w:rsidRPr="006F1DC9">
              <w:t>step</w:t>
            </w:r>
            <w:proofErr w:type="spellEnd"/>
            <w:r w:rsidRPr="006F1DC9">
              <w:t>)</w:t>
            </w:r>
          </w:p>
        </w:tc>
        <w:tc>
          <w:tcPr>
            <w:tcW w:w="352" w:type="dxa"/>
            <w:vAlign w:val="center"/>
          </w:tcPr>
          <w:p w14:paraId="792C3116" w14:textId="1533430F" w:rsidR="00AB1545" w:rsidRDefault="00AB1545" w:rsidP="00347829">
            <w:pPr>
              <w:spacing w:beforeLines="60" w:before="144" w:afterLines="60" w:after="144"/>
              <w:jc w:val="both"/>
            </w:pPr>
            <w:r>
              <w:t>=</w:t>
            </w:r>
          </w:p>
        </w:tc>
        <w:tc>
          <w:tcPr>
            <w:tcW w:w="7314" w:type="dxa"/>
          </w:tcPr>
          <w:p w14:paraId="547675F3" w14:textId="48BA9213" w:rsidR="00AB1545" w:rsidRPr="00F96F2F" w:rsidRDefault="006F1DC9" w:rsidP="0090379D">
            <w:pPr>
              <w:pBdr>
                <w:bottom w:val="single" w:sz="12" w:space="1" w:color="auto"/>
              </w:pBdr>
              <w:jc w:val="center"/>
              <w:rPr>
                <w:lang w:val="kk-KZ"/>
              </w:rPr>
            </w:pPr>
            <w:r w:rsidRPr="006F1DC9">
              <w:rPr>
                <w:lang w:val="kk-KZ"/>
              </w:rPr>
              <w:t xml:space="preserve">the highest indicator </w:t>
            </w:r>
            <w:r>
              <w:rPr>
                <w:lang w:val="en-US"/>
              </w:rPr>
              <w:t>-</w:t>
            </w:r>
            <w:r w:rsidRPr="006F1DC9">
              <w:rPr>
                <w:lang w:val="kk-KZ"/>
              </w:rPr>
              <w:t xml:space="preserve"> the initial indicator of the country in the first position</w:t>
            </w:r>
          </w:p>
          <w:p w14:paraId="4FBC2860" w14:textId="2DF01601" w:rsidR="006F1DC9" w:rsidRPr="006F1DC9" w:rsidRDefault="006F1DC9" w:rsidP="006F1D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quantity</w:t>
            </w:r>
            <w:r w:rsidRPr="006F1DC9">
              <w:rPr>
                <w:lang w:val="en-US"/>
              </w:rPr>
              <w:t xml:space="preserve"> of IOFS </w:t>
            </w:r>
            <w:r>
              <w:rPr>
                <w:lang w:val="en-US"/>
              </w:rPr>
              <w:t>M</w:t>
            </w:r>
            <w:r w:rsidRPr="006F1DC9">
              <w:rPr>
                <w:lang w:val="en-US"/>
              </w:rPr>
              <w:t xml:space="preserve">ember </w:t>
            </w:r>
            <w:r>
              <w:rPr>
                <w:lang w:val="en-US"/>
              </w:rPr>
              <w:t>States</w:t>
            </w:r>
          </w:p>
          <w:p w14:paraId="2F6407E3" w14:textId="0065D89D" w:rsidR="00AB1545" w:rsidRPr="006F1DC9" w:rsidRDefault="006F1DC9" w:rsidP="006F1DC9">
            <w:pPr>
              <w:jc w:val="center"/>
              <w:rPr>
                <w:lang w:val="en-US"/>
              </w:rPr>
            </w:pPr>
            <w:r w:rsidRPr="006F1DC9">
              <w:rPr>
                <w:lang w:val="en-US"/>
              </w:rPr>
              <w:t>except the first and last positions</w:t>
            </w:r>
          </w:p>
        </w:tc>
      </w:tr>
    </w:tbl>
    <w:p w14:paraId="3CD4E3BA" w14:textId="54DE4C02" w:rsidR="006F1DC9" w:rsidRPr="006F1DC9" w:rsidRDefault="006F1DC9" w:rsidP="00347829">
      <w:pPr>
        <w:spacing w:beforeLines="60" w:before="144" w:afterLines="60" w:after="144"/>
        <w:jc w:val="both"/>
        <w:rPr>
          <w:lang w:val="en-US"/>
        </w:rPr>
      </w:pPr>
      <w:r w:rsidRPr="006F1DC9">
        <w:rPr>
          <w:lang w:val="en-US"/>
        </w:rPr>
        <w:t xml:space="preserve">Further, to form the IOFS scale from the percentage of each </w:t>
      </w:r>
      <w:r>
        <w:rPr>
          <w:lang w:val="en-US"/>
        </w:rPr>
        <w:t>State</w:t>
      </w:r>
      <w:r w:rsidRPr="006F1DC9">
        <w:rPr>
          <w:lang w:val="en-US"/>
        </w:rPr>
        <w:t xml:space="preserve"> from the initial indicators (except for the first and last positions), we subtract the obtained average value and determine the percentage of </w:t>
      </w:r>
      <w:r>
        <w:rPr>
          <w:lang w:val="en-US"/>
        </w:rPr>
        <w:t>States</w:t>
      </w:r>
      <w:r w:rsidRPr="006F1DC9">
        <w:rPr>
          <w:lang w:val="en-US"/>
        </w:rPr>
        <w:t>.</w:t>
      </w:r>
    </w:p>
    <w:p w14:paraId="51887520" w14:textId="4326A5CF" w:rsidR="006F1DC9" w:rsidRPr="006F1DC9" w:rsidRDefault="006F1DC9" w:rsidP="00347829">
      <w:pPr>
        <w:spacing w:beforeLines="60" w:before="144" w:afterLines="60" w:after="144"/>
        <w:jc w:val="both"/>
        <w:rPr>
          <w:b/>
          <w:bCs/>
          <w:lang w:val="en-US"/>
        </w:rPr>
      </w:pPr>
      <w:r w:rsidRPr="006F1DC9">
        <w:rPr>
          <w:b/>
          <w:bCs/>
          <w:lang w:val="en-US"/>
        </w:rPr>
        <w:t xml:space="preserve">Columns 5, 6, 7. </w:t>
      </w:r>
      <w:r w:rsidR="00D66B0A">
        <w:rPr>
          <w:b/>
          <w:bCs/>
          <w:lang w:val="en-US"/>
        </w:rPr>
        <w:t>Contributions</w:t>
      </w:r>
      <w:r w:rsidRPr="006F1DC9">
        <w:rPr>
          <w:b/>
          <w:bCs/>
          <w:lang w:val="en-US"/>
        </w:rPr>
        <w:t xml:space="preserve"> (US dollars) of </w:t>
      </w:r>
      <w:r w:rsidR="00D66B0A">
        <w:rPr>
          <w:b/>
          <w:bCs/>
          <w:lang w:val="en-US"/>
        </w:rPr>
        <w:t xml:space="preserve">the </w:t>
      </w:r>
      <w:r w:rsidRPr="006F1DC9">
        <w:rPr>
          <w:b/>
          <w:bCs/>
          <w:lang w:val="en-US"/>
        </w:rPr>
        <w:t xml:space="preserve">IOFS </w:t>
      </w:r>
      <w:r w:rsidR="00D66B0A">
        <w:rPr>
          <w:b/>
          <w:bCs/>
          <w:lang w:val="en-US"/>
        </w:rPr>
        <w:t>M</w:t>
      </w:r>
      <w:r w:rsidRPr="006F1DC9">
        <w:rPr>
          <w:b/>
          <w:bCs/>
          <w:lang w:val="en-US"/>
        </w:rPr>
        <w:t xml:space="preserve">ember </w:t>
      </w:r>
      <w:r w:rsidR="00D66B0A">
        <w:rPr>
          <w:b/>
          <w:bCs/>
          <w:lang w:val="en-US"/>
        </w:rPr>
        <w:t>States</w:t>
      </w:r>
      <w:r w:rsidRPr="006F1DC9">
        <w:rPr>
          <w:b/>
          <w:bCs/>
          <w:lang w:val="en-US"/>
        </w:rPr>
        <w:t xml:space="preserve"> based on the percentage of total budget amounts provided for 2020-2022, respectively.</w:t>
      </w:r>
    </w:p>
    <w:sectPr w:rsidR="006F1DC9" w:rsidRPr="006F1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E8793A" w14:textId="77777777" w:rsidR="0088592D" w:rsidRDefault="0088592D" w:rsidP="00110660">
      <w:r>
        <w:separator/>
      </w:r>
    </w:p>
  </w:endnote>
  <w:endnote w:type="continuationSeparator" w:id="0">
    <w:p w14:paraId="6D0FA025" w14:textId="77777777" w:rsidR="0088592D" w:rsidRDefault="0088592D" w:rsidP="00110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9BB86" w14:textId="77777777" w:rsidR="0088592D" w:rsidRDefault="0088592D" w:rsidP="00110660">
      <w:r>
        <w:separator/>
      </w:r>
    </w:p>
  </w:footnote>
  <w:footnote w:type="continuationSeparator" w:id="0">
    <w:p w14:paraId="6270816F" w14:textId="77777777" w:rsidR="0088592D" w:rsidRDefault="0088592D" w:rsidP="001106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9E3"/>
    <w:rsid w:val="00080BD2"/>
    <w:rsid w:val="00094AAF"/>
    <w:rsid w:val="000B2283"/>
    <w:rsid w:val="000F2070"/>
    <w:rsid w:val="00101F34"/>
    <w:rsid w:val="00110660"/>
    <w:rsid w:val="001153A2"/>
    <w:rsid w:val="001411FD"/>
    <w:rsid w:val="001467CC"/>
    <w:rsid w:val="00177ECF"/>
    <w:rsid w:val="001872DE"/>
    <w:rsid w:val="001928E9"/>
    <w:rsid w:val="001A18CF"/>
    <w:rsid w:val="001D70D8"/>
    <w:rsid w:val="001F79A9"/>
    <w:rsid w:val="002571D7"/>
    <w:rsid w:val="00257A77"/>
    <w:rsid w:val="002713A6"/>
    <w:rsid w:val="00271C0B"/>
    <w:rsid w:val="00285F06"/>
    <w:rsid w:val="00296C85"/>
    <w:rsid w:val="002A597D"/>
    <w:rsid w:val="002D71D4"/>
    <w:rsid w:val="002E437A"/>
    <w:rsid w:val="00347829"/>
    <w:rsid w:val="0035218D"/>
    <w:rsid w:val="00357E68"/>
    <w:rsid w:val="00375F90"/>
    <w:rsid w:val="003A037D"/>
    <w:rsid w:val="003A2403"/>
    <w:rsid w:val="003B0B25"/>
    <w:rsid w:val="003E3AB7"/>
    <w:rsid w:val="003F5766"/>
    <w:rsid w:val="003F69E3"/>
    <w:rsid w:val="0041077F"/>
    <w:rsid w:val="0043437F"/>
    <w:rsid w:val="00473600"/>
    <w:rsid w:val="0048254C"/>
    <w:rsid w:val="004C2E7C"/>
    <w:rsid w:val="00522E4A"/>
    <w:rsid w:val="0053617D"/>
    <w:rsid w:val="005369BA"/>
    <w:rsid w:val="00564ADA"/>
    <w:rsid w:val="005D085A"/>
    <w:rsid w:val="006014DD"/>
    <w:rsid w:val="00615B04"/>
    <w:rsid w:val="00630BD7"/>
    <w:rsid w:val="00640E83"/>
    <w:rsid w:val="006624D0"/>
    <w:rsid w:val="00664493"/>
    <w:rsid w:val="00680867"/>
    <w:rsid w:val="006A583B"/>
    <w:rsid w:val="006A7E43"/>
    <w:rsid w:val="006C5A24"/>
    <w:rsid w:val="006F1DC9"/>
    <w:rsid w:val="00743113"/>
    <w:rsid w:val="0075706C"/>
    <w:rsid w:val="00783B8E"/>
    <w:rsid w:val="00783D10"/>
    <w:rsid w:val="007B2F83"/>
    <w:rsid w:val="007D3D4F"/>
    <w:rsid w:val="007E0320"/>
    <w:rsid w:val="007E4113"/>
    <w:rsid w:val="00822B1E"/>
    <w:rsid w:val="00882F9C"/>
    <w:rsid w:val="0088592D"/>
    <w:rsid w:val="00890400"/>
    <w:rsid w:val="00893E66"/>
    <w:rsid w:val="008C6092"/>
    <w:rsid w:val="008F7306"/>
    <w:rsid w:val="0090379D"/>
    <w:rsid w:val="00906B08"/>
    <w:rsid w:val="009856D3"/>
    <w:rsid w:val="00997979"/>
    <w:rsid w:val="009C133B"/>
    <w:rsid w:val="009C50AC"/>
    <w:rsid w:val="009D25D8"/>
    <w:rsid w:val="009D25DB"/>
    <w:rsid w:val="009D64AA"/>
    <w:rsid w:val="00A008B5"/>
    <w:rsid w:val="00A3152F"/>
    <w:rsid w:val="00AB1545"/>
    <w:rsid w:val="00AB7372"/>
    <w:rsid w:val="00AD63B9"/>
    <w:rsid w:val="00B449EE"/>
    <w:rsid w:val="00B51A42"/>
    <w:rsid w:val="00B83ACC"/>
    <w:rsid w:val="00B90E57"/>
    <w:rsid w:val="00B915B6"/>
    <w:rsid w:val="00BA0DAD"/>
    <w:rsid w:val="00BD08FB"/>
    <w:rsid w:val="00BD1A24"/>
    <w:rsid w:val="00BD4D31"/>
    <w:rsid w:val="00BD6CD2"/>
    <w:rsid w:val="00BE2548"/>
    <w:rsid w:val="00C27679"/>
    <w:rsid w:val="00CB1B6C"/>
    <w:rsid w:val="00CD0E8E"/>
    <w:rsid w:val="00D34DC5"/>
    <w:rsid w:val="00D66B0A"/>
    <w:rsid w:val="00DD66AA"/>
    <w:rsid w:val="00DE673B"/>
    <w:rsid w:val="00E04DEE"/>
    <w:rsid w:val="00E326A0"/>
    <w:rsid w:val="00E430F9"/>
    <w:rsid w:val="00E7725A"/>
    <w:rsid w:val="00E9183C"/>
    <w:rsid w:val="00F14070"/>
    <w:rsid w:val="00F661D3"/>
    <w:rsid w:val="00F93C5D"/>
    <w:rsid w:val="00F96F2F"/>
    <w:rsid w:val="00FF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34800"/>
  <w15:chartTrackingRefBased/>
  <w15:docId w15:val="{CC3C7C1F-3840-4AC7-B916-148B3FD7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7E68"/>
    <w:pPr>
      <w:spacing w:before="100" w:beforeAutospacing="1" w:after="100" w:afterAutospacing="1"/>
    </w:pPr>
    <w:rPr>
      <w:lang w:eastAsia="ru-RU"/>
    </w:rPr>
  </w:style>
  <w:style w:type="table" w:customStyle="1" w:styleId="TableNormal">
    <w:name w:val="Table Normal"/>
    <w:uiPriority w:val="2"/>
    <w:semiHidden/>
    <w:unhideWhenUsed/>
    <w:qFormat/>
    <w:rsid w:val="00B51A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1A42"/>
    <w:pPr>
      <w:widowControl w:val="0"/>
      <w:autoSpaceDE w:val="0"/>
      <w:autoSpaceDN w:val="0"/>
      <w:spacing w:before="4"/>
      <w:ind w:left="752"/>
    </w:pPr>
    <w:rPr>
      <w:rFonts w:ascii="Book Antiqua" w:eastAsia="Book Antiqua" w:hAnsi="Book Antiqua" w:cs="Book Antiqua"/>
      <w:sz w:val="22"/>
      <w:szCs w:val="22"/>
      <w:lang w:val="en-US" w:bidi="en-US"/>
    </w:rPr>
  </w:style>
  <w:style w:type="table" w:styleId="a4">
    <w:name w:val="Table Grid"/>
    <w:basedOn w:val="a1"/>
    <w:uiPriority w:val="39"/>
    <w:rsid w:val="00177EC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0"/>
    <w:rsid w:val="009856D3"/>
  </w:style>
  <w:style w:type="paragraph" w:styleId="a5">
    <w:name w:val="header"/>
    <w:basedOn w:val="a"/>
    <w:link w:val="a6"/>
    <w:uiPriority w:val="99"/>
    <w:unhideWhenUsed/>
    <w:rsid w:val="001106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1066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1106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1066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4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2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5B166-8A28-4E26-9739-F23D269DA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4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wwwww wwww</cp:lastModifiedBy>
  <cp:revision>11</cp:revision>
  <cp:lastPrinted>2019-08-16T13:12:00Z</cp:lastPrinted>
  <dcterms:created xsi:type="dcterms:W3CDTF">2019-08-13T04:22:00Z</dcterms:created>
  <dcterms:modified xsi:type="dcterms:W3CDTF">2019-08-19T05:34:00Z</dcterms:modified>
</cp:coreProperties>
</file>